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51" w:rsidRDefault="000C0551">
      <w:pPr>
        <w:pStyle w:val="ConsPlusTitlePage"/>
      </w:pPr>
      <w:r>
        <w:br/>
      </w:r>
    </w:p>
    <w:p w:rsidR="000C0551" w:rsidRDefault="000C0551">
      <w:pPr>
        <w:pStyle w:val="ConsPlusNormal"/>
        <w:jc w:val="both"/>
        <w:outlineLvl w:val="0"/>
      </w:pPr>
    </w:p>
    <w:p w:rsidR="000C0551" w:rsidRDefault="000C0551">
      <w:pPr>
        <w:pStyle w:val="ConsPlusTitle"/>
        <w:jc w:val="center"/>
        <w:outlineLvl w:val="0"/>
      </w:pPr>
      <w:r>
        <w:t>ПРАВИТЕЛЬСТВО ВОРОНЕЖСКОЙ ОБЛАСТИ</w:t>
      </w:r>
    </w:p>
    <w:p w:rsidR="000C0551" w:rsidRDefault="000C0551">
      <w:pPr>
        <w:pStyle w:val="ConsPlusTitle"/>
        <w:jc w:val="center"/>
      </w:pPr>
    </w:p>
    <w:p w:rsidR="000C0551" w:rsidRDefault="000C0551">
      <w:pPr>
        <w:pStyle w:val="ConsPlusTitle"/>
        <w:jc w:val="center"/>
      </w:pPr>
      <w:r>
        <w:t>ПОСТАНОВЛЕНИЕ</w:t>
      </w:r>
    </w:p>
    <w:p w:rsidR="000C0551" w:rsidRDefault="000C0551">
      <w:pPr>
        <w:pStyle w:val="ConsPlusTitle"/>
        <w:jc w:val="center"/>
      </w:pPr>
      <w:r>
        <w:t>от 22 октября 2025 г. N 654</w:t>
      </w:r>
    </w:p>
    <w:p w:rsidR="000C0551" w:rsidRDefault="000C0551">
      <w:pPr>
        <w:pStyle w:val="ConsPlusTitle"/>
        <w:jc w:val="center"/>
      </w:pPr>
    </w:p>
    <w:p w:rsidR="000C0551" w:rsidRDefault="000C0551">
      <w:pPr>
        <w:pStyle w:val="ConsPlusTitle"/>
        <w:jc w:val="center"/>
      </w:pPr>
      <w:r>
        <w:t>ОБ УТВЕРЖДЕНИИ ПОРЯДКА ПРЕДОСТАВЛЕНИЯ ГРАНТОВ В ФОРМЕ</w:t>
      </w:r>
    </w:p>
    <w:p w:rsidR="000C0551" w:rsidRDefault="000C0551">
      <w:pPr>
        <w:pStyle w:val="ConsPlusTitle"/>
        <w:jc w:val="center"/>
      </w:pPr>
      <w:r>
        <w:t>СУБСИДИЙ НА ПОДДЕРЖКУ ПРОЕКТОВ ПО СОЗДАНИЮ НЕКАПИТАЛЬНЫХ</w:t>
      </w:r>
    </w:p>
    <w:p w:rsidR="000C0551" w:rsidRDefault="000C0551">
      <w:pPr>
        <w:pStyle w:val="ConsPlusTitle"/>
        <w:jc w:val="center"/>
      </w:pPr>
      <w:r>
        <w:t>ОБЪЕКТОВ ТУРИСТСКОЙ ИНФРАСТРУКТУРЫ ВБЛИЗИ АВТОМОБИЛЬНЫХ</w:t>
      </w:r>
    </w:p>
    <w:p w:rsidR="000C0551" w:rsidRDefault="000C0551">
      <w:pPr>
        <w:pStyle w:val="ConsPlusTitle"/>
        <w:jc w:val="center"/>
      </w:pPr>
      <w:r>
        <w:t>ДОРОГ ФЕДЕРАЛЬНОГО, РЕГИОНАЛЬНОГО, МЕЖМУНИЦИПАЛЬНОГО</w:t>
      </w:r>
    </w:p>
    <w:p w:rsidR="000C0551" w:rsidRDefault="000C0551">
      <w:pPr>
        <w:pStyle w:val="ConsPlusTitle"/>
        <w:jc w:val="center"/>
      </w:pPr>
      <w:r>
        <w:t>И МЕСТНОГО ЗНАЧЕНИЯ В СОСТАВЕ АВТОМОБИЛЬНЫХ ТУРИСТСКИХ</w:t>
      </w:r>
    </w:p>
    <w:p w:rsidR="000C0551" w:rsidRDefault="000C0551">
      <w:pPr>
        <w:pStyle w:val="ConsPlusTitle"/>
        <w:jc w:val="center"/>
      </w:pPr>
      <w:r>
        <w:t>МАРШРУТОВ ВОРОНЕЖСКОЙ ОБЛАСТИ В СООТВЕТСТВИИ</w:t>
      </w:r>
    </w:p>
    <w:p w:rsidR="000C0551" w:rsidRDefault="000C0551">
      <w:pPr>
        <w:pStyle w:val="ConsPlusTitle"/>
        <w:jc w:val="center"/>
      </w:pPr>
      <w:r>
        <w:t>С ГОСУДАРСТВЕННОЙ ПРОГРАММОЙ ВОРОНЕЖСКОЙ ОБЛАСТИ</w:t>
      </w:r>
    </w:p>
    <w:p w:rsidR="000C0551" w:rsidRDefault="000C0551">
      <w:pPr>
        <w:pStyle w:val="ConsPlusTitle"/>
        <w:jc w:val="center"/>
      </w:pPr>
      <w:r>
        <w:t>"РАЗВИТИЕ КУЛЬТУРЫ И ТУРИЗМА"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</w:t>
      </w:r>
      <w:hyperlink r:id="rId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25.10.2023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 Правительство Воронежской области постановляет: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>
        <w:r>
          <w:rPr>
            <w:color w:val="0000FF"/>
          </w:rPr>
          <w:t>Порядок</w:t>
        </w:r>
      </w:hyperlink>
      <w:r>
        <w:t xml:space="preserve"> предоставления грантов в форме субсидий на поддержку проектов по созданию некапитальных объектов туристской инфраструктуры вблизи автомобильных дорог федерального, регионального, межмуниципального и местного значения в составе автомобильных туристских маршрутов Воронежской области в соответствии с государственной </w:t>
      </w:r>
      <w:hyperlink r:id="rId6">
        <w:r>
          <w:rPr>
            <w:color w:val="0000FF"/>
          </w:rPr>
          <w:t>программой</w:t>
        </w:r>
      </w:hyperlink>
      <w:r>
        <w:t xml:space="preserve"> Воронежской области "Развитие культуры и туризма" согласно приложению к настоящему постановлению.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заместителя председателя Правительства Воронежской области Верховцева А.Ю.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right"/>
      </w:pPr>
      <w:r>
        <w:t>Временно исполняющий обязанности</w:t>
      </w:r>
    </w:p>
    <w:p w:rsidR="000C0551" w:rsidRDefault="000C0551">
      <w:pPr>
        <w:pStyle w:val="ConsPlusNormal"/>
        <w:jc w:val="right"/>
      </w:pPr>
      <w:r>
        <w:t>Губернатора Воронежской области</w:t>
      </w:r>
    </w:p>
    <w:p w:rsidR="000C0551" w:rsidRDefault="000C0551">
      <w:pPr>
        <w:pStyle w:val="ConsPlusNormal"/>
        <w:jc w:val="right"/>
      </w:pPr>
      <w:r>
        <w:t>С.Б.ТРУХАЧЕВ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right"/>
        <w:outlineLvl w:val="0"/>
      </w:pPr>
      <w:r>
        <w:t>Приложение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right"/>
      </w:pPr>
      <w:r>
        <w:t>Утвержден</w:t>
      </w:r>
    </w:p>
    <w:p w:rsidR="000C0551" w:rsidRDefault="000C0551">
      <w:pPr>
        <w:pStyle w:val="ConsPlusNormal"/>
        <w:jc w:val="right"/>
      </w:pPr>
      <w:r>
        <w:t>постановлением</w:t>
      </w:r>
    </w:p>
    <w:p w:rsidR="000C0551" w:rsidRDefault="000C0551">
      <w:pPr>
        <w:pStyle w:val="ConsPlusNormal"/>
        <w:jc w:val="right"/>
      </w:pPr>
      <w:r>
        <w:t>Правительства Воронежской области</w:t>
      </w:r>
    </w:p>
    <w:p w:rsidR="000C0551" w:rsidRDefault="000C0551">
      <w:pPr>
        <w:pStyle w:val="ConsPlusNormal"/>
        <w:jc w:val="right"/>
      </w:pPr>
      <w:r>
        <w:t>от 22.10.2025 N 654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Title"/>
        <w:jc w:val="center"/>
      </w:pPr>
      <w:bookmarkStart w:id="0" w:name="P35"/>
      <w:bookmarkEnd w:id="0"/>
      <w:r>
        <w:t>ПОРЯДОК</w:t>
      </w:r>
    </w:p>
    <w:p w:rsidR="000C0551" w:rsidRDefault="000C0551">
      <w:pPr>
        <w:pStyle w:val="ConsPlusTitle"/>
        <w:jc w:val="center"/>
      </w:pPr>
      <w:r>
        <w:lastRenderedPageBreak/>
        <w:t>ПРЕДОСТАВЛЕНИЯ ГРАНТОВ В ФОРМЕ СУБСИДИЙ НА ПОДДЕРЖКУ</w:t>
      </w:r>
    </w:p>
    <w:p w:rsidR="000C0551" w:rsidRDefault="000C0551">
      <w:pPr>
        <w:pStyle w:val="ConsPlusTitle"/>
        <w:jc w:val="center"/>
      </w:pPr>
      <w:r>
        <w:t>ПРОЕКТОВ ПО СОЗДАНИЮ НЕКАПИТАЛЬНЫХ ОБЪЕКТОВ ТУРИСТСКОЙ</w:t>
      </w:r>
    </w:p>
    <w:p w:rsidR="000C0551" w:rsidRDefault="000C0551">
      <w:pPr>
        <w:pStyle w:val="ConsPlusTitle"/>
        <w:jc w:val="center"/>
      </w:pPr>
      <w:r>
        <w:t>ИНФРАСТРУКТУРЫ ВБЛИЗИ АВТОМОБИЛЬНЫХ ДОРОГ ФЕДЕРАЛЬНОГО,</w:t>
      </w:r>
    </w:p>
    <w:p w:rsidR="000C0551" w:rsidRDefault="000C0551">
      <w:pPr>
        <w:pStyle w:val="ConsPlusTitle"/>
        <w:jc w:val="center"/>
      </w:pPr>
      <w:r>
        <w:t>РЕГИОНАЛЬНОГО, МЕЖМУНИЦИПАЛЬНОГО И МЕСТНОГО ЗНАЧЕНИЯ</w:t>
      </w:r>
    </w:p>
    <w:p w:rsidR="000C0551" w:rsidRDefault="000C0551">
      <w:pPr>
        <w:pStyle w:val="ConsPlusTitle"/>
        <w:jc w:val="center"/>
      </w:pPr>
      <w:r>
        <w:t>В СОСТАВЕ АВТОМОБИЛЬНЫХ ТУРИСТСКИХ МАРШРУТОВ ВОРОНЕЖСКОЙ</w:t>
      </w:r>
    </w:p>
    <w:p w:rsidR="000C0551" w:rsidRDefault="000C0551">
      <w:pPr>
        <w:pStyle w:val="ConsPlusTitle"/>
        <w:jc w:val="center"/>
      </w:pPr>
      <w:r>
        <w:t>ОБЛАСТИ В СООТВЕТСТВИИ С ГОСУДАРСТВЕННОЙ ПРОГРАММОЙ</w:t>
      </w:r>
    </w:p>
    <w:p w:rsidR="000C0551" w:rsidRDefault="000C0551">
      <w:pPr>
        <w:pStyle w:val="ConsPlusTitle"/>
        <w:jc w:val="center"/>
      </w:pPr>
      <w:r>
        <w:t>ВОРОНЕЖСКОЙ ОБЛАСТИ "РАЗВИТИЕ КУЛЬТУРЫ И ТУРИЗМА"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Title"/>
        <w:jc w:val="center"/>
        <w:outlineLvl w:val="1"/>
      </w:pPr>
      <w:r>
        <w:t>1. Общие положения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ind w:firstLine="540"/>
        <w:jc w:val="both"/>
      </w:pPr>
      <w:r>
        <w:t xml:space="preserve">1.1. Настоящий Порядок предоставления грантов в форме субсидий на поддержку проектов по созданию некапитальных объектов туристской инфраструктуры вблизи автомобильных дорог федерального, регионального, межмуниципального и местного значения в составе автомобильных туристских маршрутов Воронежской области в соответствии с государственной </w:t>
      </w:r>
      <w:hyperlink r:id="rId7">
        <w:r>
          <w:rPr>
            <w:color w:val="0000FF"/>
          </w:rPr>
          <w:t>программой</w:t>
        </w:r>
      </w:hyperlink>
      <w:r>
        <w:t xml:space="preserve"> Воронежской области "Развитие культуры и туризма" (далее соответственно - Порядок, гранты, Проекты) устанавливает общие положения о предоставлении грантов, порядок проведения отбора получателей грантов для получения грантов, условия и порядок предоставления грантов, требования к отчетности, требования об осуществлении контроля (мониторинга) за соблюдением условий и порядка предоставления грантов и ответственности за их нарушение.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1" w:name="P47"/>
      <w:bookmarkEnd w:id="1"/>
      <w:r>
        <w:t xml:space="preserve">1.2. Целью предоставления грантов является государственная поддержка в целях финансового обеспечения затрат на осуществление мероприятий по созданию некапитальных объектов туристской инфраструктуры вблизи автомобильных дорог федерального, регионального, межмуниципального и местного значения в составе автомобильных туристских маршрутов Воронежской области в рамках реализации национального проекта "Туризм и гостеприимство", а также в рамках реализации регионального проекта "Создание номерного фонда, инфраструктуры и новых точек притяжения" государственной </w:t>
      </w:r>
      <w:hyperlink r:id="rId8">
        <w:r>
          <w:rPr>
            <w:color w:val="0000FF"/>
          </w:rPr>
          <w:t>программы</w:t>
        </w:r>
      </w:hyperlink>
      <w:r>
        <w:t xml:space="preserve"> Воронежской области "Развитие культуры и туризма", утвержденной постановлением Правительства Воронежской области от 18.12.2013 N 1119.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1.3. Исполнительным органом Воронежской области,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грантов на соответствующий финансовый год и плановый период, является министерство предпринимательства, торговли и туризма Воронежской области (далее - Министерство).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Предоставление грантов осуществляется в соответствии со сводной бюджетной росписью в пределах бюджетных ассигнований, предусмотренных законом Воронежской области об областном бюджете на соответствующий финансовый год и на плановый период на цели, указанные в настоящем Порядке.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1.4. Способом предоставления грантов является финансовое обеспечение затрат.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1.5. Информация о грантах размещается на едином портале бюджетной системы Российской Федерации в информационно-телекоммуникационной сети "Интернет" (далее соответственно - единый портал, сеть "Интернет") (в разделе единого портала) в порядке, установленном Министерством финансов Российской Федерации.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1.6. Для целей настоящего Порядка используются следующие основные понятия: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автотурист - лицо, путешествующее на автомобиле, автодоме, мототехнике или туристско-экскурсионном автобусе и посещающее место (объект) временного пребывания в культурно-познавательных, рекреационных, физкультурно-спортивных, лечебно-оздоровительных, </w:t>
      </w:r>
      <w:r>
        <w:lastRenderedPageBreak/>
        <w:t>профессионально-деловых и иных целях на период от 24 часов до 6 месяцев подряд или осуществляющее не менее одной ночевки в месте временного пребывания;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автомобильный туристский маршрут - путь следования туристов на автомобиле, туристско-экскурсионном автобусе, автодоме, мототехнике, проходящий по автомобильным дорогам федерального, регионального, межмуниципального или местного значения и их участкам, включающий посещение и (или) использование туристами объектов туристских ресурсов и (или) туристской индустрии;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автомобильный туристский маршрут Воронежской области - автомобильный туристский маршрут, утвержденный Министерством;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некапитальный объект туристской инфраструктуры - объект, специализирующийся на обслуживании туристов, обеспечивающий комфортное и безопасное пребывание автотуристов, в том числе размещение, питание, отдых, а также созданный в рекреационных, познавательных, развлекательных целях, не имеющий прочной связи с землей, конструктивные характеристики которого позволяют осуществить его перемещение и (или) демонтаж и последующую сборку без несоразмерного ущерба назначению и без изменения основных характеристик строений, сооружений (в том числе киосков, навесов и других подобных строений, сооружений).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Title"/>
        <w:jc w:val="center"/>
        <w:outlineLvl w:val="1"/>
      </w:pPr>
      <w:r>
        <w:t>2. Порядок проведения отбора получателей грантов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ind w:firstLine="540"/>
        <w:jc w:val="both"/>
      </w:pPr>
      <w:bookmarkStart w:id="2" w:name="P60"/>
      <w:bookmarkEnd w:id="2"/>
      <w:r>
        <w:t>2.1. Право на получение грантов имеют юридические лица (за исключением некоммерческих организаций, являющихся государственными (муниципальными) учреждениями) и индивидуальные предприниматели, которые: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3" w:name="P61"/>
      <w:bookmarkEnd w:id="3"/>
      <w:r>
        <w:t>- поставлены на учет в налоговых органах Воронежской области;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4" w:name="P62"/>
      <w:bookmarkEnd w:id="4"/>
      <w:r>
        <w:t>- осуществляют деятельность на территории Воронежской области;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не являются юридическими лицами и индивидуальными предпринимателями, прошедшими отбор и получившими право на получение гранта в текущем календарном году в соответствии с Порядком предоставления грантов в форме субсидий на поддержку общественных инициатив и проектов, направленных на развитие туристской инфраструктуры, в соответствии с государственной </w:t>
      </w:r>
      <w:hyperlink r:id="rId9">
        <w:r>
          <w:rPr>
            <w:color w:val="0000FF"/>
          </w:rPr>
          <w:t>программой</w:t>
        </w:r>
      </w:hyperlink>
      <w:r>
        <w:t xml:space="preserve"> Воронежской области "Развитие культуры и туризма", утвержденным постановлением Правительства Воронежской области от 18.08.2025 N 539;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представили Проекты, включающие в себя мероприятия, согласованные Минэкономразвития России, в том числе согласованный план реализации указанных мероприятий (далее - согласованные проекты);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прошли отбор в соответствии с настоящим Порядком (далее - участники отбора, получатели грантов).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2.2. Наименование государственной информационной системы, обеспечивающей проведение отбора, - государственная интегрированная информационная система управления общественными финансами "Электронный бюджет" (далее - система "Электронный бюджет").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2.3. Отбор получателей грантов, а также иное взаимодействие Министерства с участниками отбора осуществляется с использованием документов в электронной форме в системе "Электронный бюджет".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2.4. Способом проведения отбора получателей грантов является запрос предложений, который проводится исходя из соответствия участников отбора критериям отбора и очередности поступления предложений (заявок) на участие в отборе получателей грантов.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lastRenderedPageBreak/>
        <w:t>2.5. Объявление о проведении отбора формируется Министерством и размещается на едином портале, а также на странице Министерства в информационной системе "Портал Воронежской области в сети Интернет" в срок не позднее чем за 3 календарных дня до даты начала приема заявок на участие в отборе (далее - заявки) с указанием в нем следующих сведений: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сроков проведения отбора;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дат начала подачи и окончания приема заявок участников отбора, при этом дата окончания приема заявок участников отбора не может быть ранее 5 календарного дня, следующего за днем размещения объявления о проведении отбора;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наименования, места нахождения, почтового адреса, адреса электронной почты Министерства;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результата предоставления гранта, указанного в </w:t>
      </w:r>
      <w:hyperlink w:anchor="P203">
        <w:r>
          <w:rPr>
            <w:color w:val="0000FF"/>
          </w:rPr>
          <w:t>пункте 3.11</w:t>
        </w:r>
      </w:hyperlink>
      <w:r>
        <w:t xml:space="preserve"> настоящего Порядка;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доменного имени и (или) указателей страниц системы "Электронный бюджет" в сети "Интернет";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требований к участникам отбора в соответствии с </w:t>
      </w:r>
      <w:hyperlink w:anchor="P92">
        <w:r>
          <w:rPr>
            <w:color w:val="0000FF"/>
          </w:rPr>
          <w:t>пунктом 2.6</w:t>
        </w:r>
      </w:hyperlink>
      <w:r>
        <w:t xml:space="preserve"> настоящего Порядка и к перечню документов, представляемых участниками отбора для подтверждения их соответствия указанным требованиям;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критериев отбора получателей грантов;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порядка подачи участниками отбора заявок и требований, предъявляемых к форме и содержанию заявок;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порядка отзыва заявок, порядка их возврата, определяющего в том числе основания для возврата заявок, порядка внесения изменений в заявки;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правил рассмотрения заявок участников отбора в соответствии с </w:t>
      </w:r>
      <w:hyperlink w:anchor="P126">
        <w:r>
          <w:rPr>
            <w:color w:val="0000FF"/>
          </w:rPr>
          <w:t>пунктами 2.13</w:t>
        </w:r>
      </w:hyperlink>
      <w:r>
        <w:t xml:space="preserve">, </w:t>
      </w:r>
      <w:hyperlink w:anchor="P136">
        <w:r>
          <w:rPr>
            <w:color w:val="0000FF"/>
          </w:rPr>
          <w:t>2.16</w:t>
        </w:r>
      </w:hyperlink>
      <w:r>
        <w:t xml:space="preserve"> - </w:t>
      </w:r>
      <w:hyperlink w:anchor="P147">
        <w:r>
          <w:rPr>
            <w:color w:val="0000FF"/>
          </w:rPr>
          <w:t>2.18</w:t>
        </w:r>
      </w:hyperlink>
      <w:r>
        <w:t xml:space="preserve"> настоящего Порядка;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порядка возврата заявок на доработку;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порядка отклонения заявок, а также информации об основаниях их отклонения;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объема бюджетных ассигнований, предусмотренных на соответствующий финансовый год на цель предоставления грантов, указанную в </w:t>
      </w:r>
      <w:hyperlink w:anchor="P47">
        <w:r>
          <w:rPr>
            <w:color w:val="0000FF"/>
          </w:rPr>
          <w:t>пункте 1.2</w:t>
        </w:r>
      </w:hyperlink>
      <w:r>
        <w:t xml:space="preserve"> настоящего Порядка, в областном бюджете, порядка расчета размера грантов, правил распределения грантов в соответствии с </w:t>
      </w:r>
      <w:hyperlink w:anchor="P171">
        <w:r>
          <w:rPr>
            <w:color w:val="0000FF"/>
          </w:rPr>
          <w:t>пунктами 3.2</w:t>
        </w:r>
      </w:hyperlink>
      <w:r>
        <w:t xml:space="preserve"> и </w:t>
      </w:r>
      <w:hyperlink w:anchor="P173">
        <w:r>
          <w:rPr>
            <w:color w:val="0000FF"/>
          </w:rPr>
          <w:t>3.3</w:t>
        </w:r>
      </w:hyperlink>
      <w:r>
        <w:t xml:space="preserve"> настоящего Порядка;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порядка предоставления участникам отбора разъяснений положений объявления о проведении отбора, дат начала и окончания срока такого предоставления;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срока, в течение которого победитель (победители) отбора должны подписать соглашение о предоставлении гранта (далее - соглашение);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условий признания победителя (победителей) отбора уклонившимся (уклонившимися) от заключения соглашения;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сроков размещения протокола подведения итогов отбора на едином портале, а также на странице Министерства в информационной системе "Портал Воронежской области в сети Интернет", которые не могут быть позднее 14-го календарного дня, следующего за днем определения победителя отбора (с соблюдением сроков, установленных </w:t>
      </w:r>
      <w:hyperlink r:id="rId10">
        <w:r>
          <w:rPr>
            <w:color w:val="0000FF"/>
          </w:rPr>
          <w:t>пунктом 26(2)</w:t>
        </w:r>
      </w:hyperlink>
      <w:r>
        <w:t xml:space="preserve"> </w:t>
      </w:r>
      <w:r>
        <w:lastRenderedPageBreak/>
        <w:t>Положения о мерах по обеспечению исполнения федерального бюджета, утвержденного Постановлением Правительства Российской Федерации от 09.12.2017 N 1496 "О мерах по обеспечению исполнения федерального бюджета").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Внесение изменений в объявление о проведении отбора осуществляется не позднее наступления даты окончания приема заявок участников отбора получателей грантов с соблюдением следующих условий: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календарных дней;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при внесении изменений в объявление о проведении отбора получателей грантов изменение способа отбора получателей грантов не допускается;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в случае внесения изменений в объявление о проведении отбора получателей грантов после наступления даты начала приема заявок в объявление о проведении отбора получателей грантов включается положение, предусматривающее право участников отбора получателей грантов внести изменения в заявки;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участники отбора получателей грантов, подавшие заявку, уведомляются о внесении изменений в объявление о проведении отбора получателей грантов не позднее дня, следующего за днем внесения изменений в объявление о проведении отбора получателей грантов, с использованием системы "Электронный бюджет".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5" w:name="P92"/>
      <w:bookmarkEnd w:id="5"/>
      <w:r>
        <w:t>2.6. Требования к участникам отбора, которым должен соответствовать участник отбора на даты рассмотрения заявки и заключения соглашения: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а) участник отбора не является иностранным юридическим лицом, в том числе местом регистрации которого являются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б)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в) участник отбора не находится в составляемых в рамках реализации полномочий, предусмотренных </w:t>
      </w:r>
      <w:hyperlink r:id="rId11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г) участник отбора не получает средства из бюджета Воронежской области на основании иных нормативных правовых актов Воронежской области на цели, установленные настоящим Порядком;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д) участник отбора не является иностранным агентом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14.07.2022 N 255-ФЗ "О контроле за деятельностью лиц, находящихся под иностранным влиянием";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е)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ж)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являющемся участником отбора;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з) сведения об участнике отбора должны быть внесены в Единый государственный реестр юридических лиц или Единый государственный реестр индивидуальных предпринимателей не позднее чем за 6 месяцев до даты размещения объявления о проведении отбора;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и) у участника отбора на едином налоговом счете отсутствует или не превышает размер, определенный </w:t>
      </w:r>
      <w:hyperlink r:id="rId13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2.7. Критерием отбора является соответствие участников отбора требованиям, указанным в </w:t>
      </w:r>
      <w:hyperlink w:anchor="P60">
        <w:r>
          <w:rPr>
            <w:color w:val="0000FF"/>
          </w:rPr>
          <w:t>пункте 2.1</w:t>
        </w:r>
      </w:hyperlink>
      <w:r>
        <w:t xml:space="preserve"> настоящего Порядка.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6" w:name="P103"/>
      <w:bookmarkEnd w:id="6"/>
      <w:r>
        <w:t xml:space="preserve">2.8. Для подтверждения соответствия требованиям, указанным в </w:t>
      </w:r>
      <w:hyperlink w:anchor="P92">
        <w:r>
          <w:rPr>
            <w:color w:val="0000FF"/>
          </w:rPr>
          <w:t>пункте 2.6</w:t>
        </w:r>
      </w:hyperlink>
      <w:r>
        <w:t xml:space="preserve"> настоящего Порядка, и получения гранта участник отбора в срок, указанный в объявлении о проведении отбора, представляет в Министерство с использованием системы "Электронный бюджет" в соответствии с </w:t>
      </w:r>
      <w:hyperlink w:anchor="P111">
        <w:r>
          <w:rPr>
            <w:color w:val="0000FF"/>
          </w:rPr>
          <w:t>пунктом 2.9</w:t>
        </w:r>
      </w:hyperlink>
      <w:r>
        <w:t xml:space="preserve"> настоящего Порядка заявку и следующие документы: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</w:t>
      </w:r>
      <w:hyperlink w:anchor="P249">
        <w:r>
          <w:rPr>
            <w:color w:val="0000FF"/>
          </w:rPr>
          <w:t>информацию</w:t>
        </w:r>
      </w:hyperlink>
      <w:r>
        <w:t xml:space="preserve"> и обязательства по форме согласно приложению N 1 к настоящему Порядку;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</w:t>
      </w:r>
      <w:hyperlink w:anchor="P296">
        <w:r>
          <w:rPr>
            <w:color w:val="0000FF"/>
          </w:rPr>
          <w:t>паспорт</w:t>
        </w:r>
      </w:hyperlink>
      <w:r>
        <w:t xml:space="preserve"> согласованного проекта по форме согласно приложению N 2 к настоящему Порядку;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копии действующих редакций учредительных документов (для юридического лица);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сведения о руководителе, членах коллегиального исполнительного органа, лице, исполняющем функции единоличного исполнительного органа, и главном бухгалтере участника отбора, являющегося юридическим лицом, об индивидуальном предпринимателе, являющемся участником отбора;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копии документов, подтверждающих право пользования или владения земельным участком, расположенным на территории Воронежской области, на котором согласно согласованному проекту планируется создание некапитальных объектов туристской инфраструктуры вблизи автомобильных дорог в радиусе не более 5 км от участков автомобильных дорог федерального значения и (или) не более 3 км от участков автомобильных дорог регионального, межмуниципального и местного значения в составе автомобильных туристских маршрутов Воронежской области.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Паспорта автомобильных туристских маршрутов Воронежской области размещаются на странице Министерства в информационной системе "Портал Воронежской области в сети </w:t>
      </w:r>
      <w:r>
        <w:lastRenderedPageBreak/>
        <w:t>Интернет".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Каждый участник отбора вправе подать одну заявку, содержащую один согласованный проект.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7" w:name="P111"/>
      <w:bookmarkEnd w:id="7"/>
      <w:r>
        <w:t>2.9. Обеспечение доступа участников отбора к системе "Электронный бюджет"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Заявки формируются участниками отбора в электронной форме посредством заполнения соответствующих экранных форм веб-интерфейса системы "Электронный бюджет".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Электронные копии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отбора, представляются в системе "Электронный бюджет".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Заявка подписывается усиленной квалифицированной электронной подписью участника отбора или уполномоченного им лица.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Заявка должна включать в себя в том числе информацию об участнике отбора, документы, подтверждающие соответствие участника отбора требованиям, установленным настоящим Порядком, предлагаемые участником отбора значения результата предоставления гранта и размер запрашиваемого гранта, информацию и подтверждающие ее документы согласно </w:t>
      </w:r>
      <w:hyperlink w:anchor="P61">
        <w:r>
          <w:rPr>
            <w:color w:val="0000FF"/>
          </w:rPr>
          <w:t>абзацам второму</w:t>
        </w:r>
      </w:hyperlink>
      <w:r>
        <w:t xml:space="preserve"> и </w:t>
      </w:r>
      <w:hyperlink w:anchor="P62">
        <w:r>
          <w:rPr>
            <w:color w:val="0000FF"/>
          </w:rPr>
          <w:t>третьему пункта 2.1</w:t>
        </w:r>
      </w:hyperlink>
      <w:r>
        <w:t xml:space="preserve"> настоящего Порядка.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Датой представления участником отбора заявки считается день подписания участником отбора заявки с присвоением ей регистрационного номера в системе "Электронный бюджет".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При представлении заявки все копии документов, входящих в состав заявки, должны иметь четко читаемый текст. Подчистки и исправления не допускаются, за исключением исправлений, заверенных печатью (при наличии) и подписью должностного лица участника отбора (уполномоченного лица).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Министерство завершает прием заявок в срок, указанный в объявлении о проведении отбора. Заявки и документы, поступившие в Министерство после даты окончания приема заявок, не учитываются и не рассматриваются.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Министерство не вправе требовать от участника отбора представления документов и информации в целях подтверждения соответствия участника отбора требованиям, установленным </w:t>
      </w:r>
      <w:hyperlink w:anchor="P92">
        <w:r>
          <w:rPr>
            <w:color w:val="0000FF"/>
          </w:rPr>
          <w:t>пунктом 2.6</w:t>
        </w:r>
      </w:hyperlink>
      <w:r>
        <w:t xml:space="preserve"> настоящего Порядка, 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Министерству по собственной инициативе.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2.10. Участник отбора вправе изменить поданную им заявку в любое время до даты окончания приема заявок.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Изменения вносятся в заявку в соответствии с требованиями к оформлению заявок, указанными в </w:t>
      </w:r>
      <w:hyperlink w:anchor="P111">
        <w:r>
          <w:rPr>
            <w:color w:val="0000FF"/>
          </w:rPr>
          <w:t>пункте 2.9</w:t>
        </w:r>
      </w:hyperlink>
      <w:r>
        <w:t xml:space="preserve"> настоящего Порядка, и направляются в Министерство в системе "Электронный бюджет".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Изменения в заявку, поступившие в Министерство после даты окончания приема заявок, не учитываются.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lastRenderedPageBreak/>
        <w:t>2.11. Участник отбора вправе отозвать заявку на доработку не позднее даты окончания приема заявок, направив соответствующее обращение в Министерство.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Отозванные участником отбора заявки на доработку возвращаются Министерством в течение 2 рабочих дней со дня поступления соответствующего обращения в Министерство.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2.12. Участник отбора вправе отозвать заявку в любое время до начала ее рассмотрения Министерством путем направления уведомления об отзыве заявки в системе "Электронный бюджет".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8" w:name="P126"/>
      <w:bookmarkEnd w:id="8"/>
      <w:r>
        <w:t>2.13. Заявка отклоняется Министерством в случае наличия одного или нескольких оснований для отклонения заявки участника отбора: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несоответствие участника отбора требованиям, указанным в </w:t>
      </w:r>
      <w:hyperlink w:anchor="P60">
        <w:r>
          <w:rPr>
            <w:color w:val="0000FF"/>
          </w:rPr>
          <w:t>пунктах 2.1</w:t>
        </w:r>
      </w:hyperlink>
      <w:r>
        <w:t xml:space="preserve"> и </w:t>
      </w:r>
      <w:hyperlink w:anchor="P92">
        <w:r>
          <w:rPr>
            <w:color w:val="0000FF"/>
          </w:rPr>
          <w:t>2.6</w:t>
        </w:r>
      </w:hyperlink>
      <w:r>
        <w:t xml:space="preserve"> настоящего Порядка;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непредставление (представление не в полном объеме) участником отбора документов, указанных в </w:t>
      </w:r>
      <w:hyperlink w:anchor="P103">
        <w:r>
          <w:rPr>
            <w:color w:val="0000FF"/>
          </w:rPr>
          <w:t>пункте 2.8</w:t>
        </w:r>
      </w:hyperlink>
      <w:r>
        <w:t xml:space="preserve"> настоящего Порядка;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недостоверность информации, содержащейся в документах, представленных участником отбора в целях подтверждения соответствия требованиям, указанным в </w:t>
      </w:r>
      <w:hyperlink w:anchor="P60">
        <w:r>
          <w:rPr>
            <w:color w:val="0000FF"/>
          </w:rPr>
          <w:t>пунктах 2.1</w:t>
        </w:r>
      </w:hyperlink>
      <w:r>
        <w:t xml:space="preserve"> и </w:t>
      </w:r>
      <w:hyperlink w:anchor="P92">
        <w:r>
          <w:rPr>
            <w:color w:val="0000FF"/>
          </w:rPr>
          <w:t>2.6</w:t>
        </w:r>
      </w:hyperlink>
      <w:r>
        <w:t xml:space="preserve"> настоящего Порядка;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несоответствие представленных участником отбора заявки и (или) документов требованиям, установленным в объявлении о проведении отбора;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отсутствие в реестре классифицированных средств размещения в нарушение требований </w:t>
      </w:r>
      <w:hyperlink r:id="rId14">
        <w:r>
          <w:rPr>
            <w:color w:val="0000FF"/>
          </w:rPr>
          <w:t>статьи 5.1</w:t>
        </w:r>
      </w:hyperlink>
      <w:r>
        <w:t xml:space="preserve"> Федерального закона от 24.11.1996 N 132-ФЗ "Об основах туристской деятельности в Российской Федерации" средства размещения, владельцем (лицом, осуществляющим деятельность, связанную с использованием средства размещения для временного размещения и обеспечения временного проживания физических лиц) которого согласно паспорту согласованного проекта является участник отбора;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подача участником отбора заявки после даты и (или) времени, определенных для приема заявок.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2.14. В случае внесения изменений в закон Воронежской области об областном бюджете на соответствующий финансовый год и на плановый период в части исключения бюджетных ассигнований на предоставление грантов Министерство в течение 5 рабочих дней со дня вступления в силу соответствующего закона отменяет проведение отбора.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Министерством формируется объявление об отмене проведения отбора, которое размещается тем же способом, каким размещается объявление о проведении отбора.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2.15. В случае отсутствия заявок отбор признается несостоявшимся.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9" w:name="P136"/>
      <w:bookmarkEnd w:id="9"/>
      <w:r>
        <w:t xml:space="preserve">2.16. Проверка Министерством участника отбора на соответствие требованиям, установленным </w:t>
      </w:r>
      <w:hyperlink w:anchor="P92">
        <w:r>
          <w:rPr>
            <w:color w:val="0000FF"/>
          </w:rPr>
          <w:t>пунктом 2.6</w:t>
        </w:r>
      </w:hyperlink>
      <w:r>
        <w:t xml:space="preserve">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Подтверждение соответствия участника отбора требованиям, установленным </w:t>
      </w:r>
      <w:hyperlink w:anchor="P92">
        <w:r>
          <w:rPr>
            <w:color w:val="0000FF"/>
          </w:rPr>
          <w:t>пунктом 2.6</w:t>
        </w:r>
      </w:hyperlink>
      <w:r>
        <w:t xml:space="preserve"> настоящего Порядка, в случае отсутствия технической возможности осуществления автоматической проверки в системе "Электронный бюджет" осуществляется путем проставления в электронном виде участником отбора отметок о соответствии указанным требованиям </w:t>
      </w:r>
      <w:r>
        <w:lastRenderedPageBreak/>
        <w:t>посредством заполнения соответствующих экранных форм веб-интерфейса системы "Электронный бюджет".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Министерству открывается доступ в системе "Электронный бюджет" к заявкам для их рассмотрения.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Протокол вскрытия заявок автоматически формируется на едином портале, подписывается усиленной квалифицированной электронной подписью министра предпринимательства, торговли и туризма Воронежской области (уполномоченного им лица)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10" w:name="P140"/>
      <w:bookmarkEnd w:id="10"/>
      <w:r>
        <w:t>2.17. Основаниями для отказа получателю гранта в предоставлении гранта являются: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несоответствие представленных получателем гранта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установление факта недостоверности представленной получателем гранта информации;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невыполнение условий предоставления гранта, установленных </w:t>
      </w:r>
      <w:hyperlink w:anchor="P162">
        <w:r>
          <w:rPr>
            <w:color w:val="0000FF"/>
          </w:rPr>
          <w:t>пунктами 3.1</w:t>
        </w:r>
      </w:hyperlink>
      <w:r>
        <w:t xml:space="preserve"> и </w:t>
      </w:r>
      <w:hyperlink w:anchor="P185">
        <w:r>
          <w:rPr>
            <w:color w:val="0000FF"/>
          </w:rPr>
          <w:t>3.5</w:t>
        </w:r>
      </w:hyperlink>
      <w:r>
        <w:t xml:space="preserve"> настоящего Порядка;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несоответствие получателя гранта требованиям, установленным </w:t>
      </w:r>
      <w:hyperlink w:anchor="P60">
        <w:r>
          <w:rPr>
            <w:color w:val="0000FF"/>
          </w:rPr>
          <w:t>пунктами 2.1</w:t>
        </w:r>
      </w:hyperlink>
      <w:r>
        <w:t xml:space="preserve"> и </w:t>
      </w:r>
      <w:hyperlink w:anchor="P92">
        <w:r>
          <w:rPr>
            <w:color w:val="0000FF"/>
          </w:rPr>
          <w:t>2.6</w:t>
        </w:r>
      </w:hyperlink>
      <w:r>
        <w:t xml:space="preserve"> настоящего Порядка;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отказ получателя гранта от заключения соглашения;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уклонение получателя гранта от заключения соглашения в срок, установленный </w:t>
      </w:r>
      <w:hyperlink w:anchor="P190">
        <w:r>
          <w:rPr>
            <w:color w:val="0000FF"/>
          </w:rPr>
          <w:t>пунктом 3.7</w:t>
        </w:r>
      </w:hyperlink>
      <w:r>
        <w:t xml:space="preserve"> настоящего Порядка.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11" w:name="P147"/>
      <w:bookmarkEnd w:id="11"/>
      <w:r>
        <w:t xml:space="preserve">2.18. Министерство рассматривает заявку и представленные документы на предмет их соответствия требованиям, установленным в объявлении о проведении отбора, в том числе осуществляет проверку участника отбора на соответствие требованиям, установленным </w:t>
      </w:r>
      <w:hyperlink w:anchor="P60">
        <w:r>
          <w:rPr>
            <w:color w:val="0000FF"/>
          </w:rPr>
          <w:t>пунктами 2.1</w:t>
        </w:r>
      </w:hyperlink>
      <w:r>
        <w:t xml:space="preserve"> и </w:t>
      </w:r>
      <w:hyperlink w:anchor="P92">
        <w:r>
          <w:rPr>
            <w:color w:val="0000FF"/>
          </w:rPr>
          <w:t>2.6</w:t>
        </w:r>
      </w:hyperlink>
      <w:r>
        <w:t xml:space="preserve"> настоящего Порядка, и в срок, не превышающий 20 рабочих дней после окончания срока приема заявки, установленного в объявлении о проведении отбора, принимает решение о приеме заявки либо об отклонении заявки (при наличии оснований, указанных в </w:t>
      </w:r>
      <w:hyperlink w:anchor="P126">
        <w:r>
          <w:rPr>
            <w:color w:val="0000FF"/>
          </w:rPr>
          <w:t>пункте 2.13</w:t>
        </w:r>
      </w:hyperlink>
      <w:r>
        <w:t xml:space="preserve"> настоящего Порядка).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Результатом рассмотрения заявок является протокол рассмотрения заявок с указанием допущенных к участию в отборе участников, а также указанием причин отклонения, в том числе с указанием положений объявления о проведении отбора, которым не соответствуют такие заявки.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Протокол рассмотрения заявок формируется автоматически на едином портале, подписывается усиленной квалифицированной электронной подписью министра предпринимательства, торговли и туризма Воронежской области (уполномоченного им лица)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Ранжирование поступивших заявок осуществляется Министерством исходя из очередности поступления заявок.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Решение Министерства о предоставлении гранта или об отказе в его предоставлении (при наличии оснований, указанных в </w:t>
      </w:r>
      <w:hyperlink w:anchor="P140">
        <w:r>
          <w:rPr>
            <w:color w:val="0000FF"/>
          </w:rPr>
          <w:t>пункте 2.17</w:t>
        </w:r>
      </w:hyperlink>
      <w:r>
        <w:t xml:space="preserve"> настоящего Порядка) принимается Министерством в срок, указанный в </w:t>
      </w:r>
      <w:hyperlink w:anchor="P147">
        <w:r>
          <w:rPr>
            <w:color w:val="0000FF"/>
          </w:rPr>
          <w:t>абзаце первом</w:t>
        </w:r>
      </w:hyperlink>
      <w:r>
        <w:t xml:space="preserve"> настоящего пункта, и оформляется протоколом подведения итогов отбора и приказом Министерства.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lastRenderedPageBreak/>
        <w:t>Протокол подведения итогов отбора автоматически формируется на едином портале, подписывается усиленной квалифицированной электронной подписью министра предпринимательства, торговли и туризма Воронежской области (уполномоченного им лица) в системе "Электронный бюджет", а также размещается на едином портале не позднее 1-го рабочего дня, следующего за днем его подписания, а также на странице Министерства в информационной системе "Портал Воронежской области в сети Интернет".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Протокол подведения итогов отбора должен включать следующие сведения: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дата, время и место проведения рассмотрения заявок;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информация об участниках отбора, заявки которых были рассмотрены;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наименование получателя (получателей) гранта, с которым заключается соглашение, и размер предоставляемого ему гранта.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2.19. 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изменений.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Title"/>
        <w:jc w:val="center"/>
        <w:outlineLvl w:val="1"/>
      </w:pPr>
      <w:r>
        <w:t>3. Условия и порядок предоставления грантов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ind w:firstLine="540"/>
        <w:jc w:val="both"/>
      </w:pPr>
      <w:bookmarkStart w:id="12" w:name="P162"/>
      <w:bookmarkEnd w:id="12"/>
      <w:r>
        <w:t>3.1. Грант предоставляется в целях финансового обеспечения затрат на осуществление мероприятий по созданию некапитальных объектов туристской инфраструктуры вблизи автомобильных дорог федерального, регионального, межмуниципального и местного значения в составе автомобильных туристских маршрутов Воронежской области по следующим направлениям расходов: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а) создание или приобретение, установка элементов систем навигации, а также обеспечение брендирования автомобильного туристского маршрута, создание единого дизайн-кода;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б) создание или установка некапитальных туристских информационных центров, а также точек продажи региональной продукции (за исключением приобретения и производства продукции, включая сувениры и изделия народных художественных промыслов), которые могут быть расположены в составе многофункциональных зон дорожного сервиса и площадок отдыха;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в) создание или приобретение, установка некапитальных объектов общественного питания (за исключением фургонов или специализированных автомобильных прицепов, оборудованных для приготовления, хранения и продажи готовой еды), которые могут быть расположены в составе многофункциональных зон дорожного сервиса и площадок отдыха;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г) создание или приобретение, установка объектов кемпинг-размещения, кемпстоянок, навесных конструкций для транспортных средств, а также приобретение кемпинговых палаток и других видов оборудования, используемого для организации пребывания (ночлега), включающих обустройство жилой и рекреационной зон, оборудование санитарных узлов (мест общего пользования), обеспечение доступа для лиц с ограниченными возможностями здоровья, создание системы визуальной информации и навигации;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д) приобретение туристского оборудования (не являющегося транспортным средством и его элементами), в том числе используемого в целях обеспечения эксплуатации и обустройства объектов туристской инфраструктуры и показа, туристских информационных центров, пунктов </w:t>
      </w:r>
      <w:r>
        <w:lastRenderedPageBreak/>
        <w:t>проката, детских и спортивных комплексов, комнат матери и ребенка и пунктов телемедицины, в том числе в целях обеспечения функционирования многофункциональных зон дорожного сервиса и площадок отдыха;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е) создание электронных путеводителей по автомобильным туристским маршрутам Воронежской области, в том числе мобильных приложений и аудиогидов;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ж) создание или приобретение, установка некапитальных спортивных площадок, санитарных модулей, модульных прачечных и душевых комнат, модульных комнат матери и ребенка и пунктов телемедицины в составе многофункциональных зон дорожного сервиса и площадок отдыха, а также оборудования к ним;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з) создание и развитие доступной туристской среды для лиц с ограниченными возможностями здоровья, стимулирование развития инклюзивного туризма, в том числе оборудование пандусов, подъемников, адаптационные работы и иные проекты по созданию безбарьерной среды, среды для лиц с ограниченными возможностями здоровья по зрению и слуху в составе многофункциональных зон дорожного сервиса и площадок отдыха.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13" w:name="P171"/>
      <w:bookmarkEnd w:id="13"/>
      <w:r>
        <w:t>3.2. Максимальный размер одного гранта составляет 10000000 (десять миллионов) рублей на одного получателя гранта.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Грант предоставляется при условии софинансирования получателем гранта расходов, связанных с осуществлением согласованного проекта, в размере не менее 30% от размера гранта. При этом к средствам получателя гранта относятся средства, израсходованные на реализацию Проекта с 1 января года заключения соглашения и до даты завершения результата предоставления гранта, указанной в соглашении.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14" w:name="P173"/>
      <w:bookmarkEnd w:id="14"/>
      <w:r>
        <w:t>3.3. Размер гранта рассчитывается по следующей формуле: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ind w:firstLine="540"/>
        <w:jc w:val="both"/>
      </w:pPr>
      <w:r>
        <w:rPr>
          <w:noProof/>
          <w:position w:val="-25"/>
        </w:rPr>
        <w:drawing>
          <wp:inline distT="0" distB="0" distL="0" distR="0">
            <wp:extent cx="544830" cy="46101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где: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ind w:firstLine="540"/>
        <w:jc w:val="both"/>
      </w:pPr>
      <w:r>
        <w:t>Г - рассчитанный размер гранта;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Р - расходы на реализацию согласованного проекта, предусмотренные паспортом Проекта в соответствии с направлениями расходов гранта, установленными </w:t>
      </w:r>
      <w:hyperlink w:anchor="P162">
        <w:r>
          <w:rPr>
            <w:color w:val="0000FF"/>
          </w:rPr>
          <w:t>пунктом 3.1</w:t>
        </w:r>
      </w:hyperlink>
      <w:r>
        <w:t xml:space="preserve"> настоящего Порядка.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Если рассчитанный размер гранта превышает 10000000 рублей, рассчитанным размером гранта считается 10000000 рублей.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Грант предоставляется в рассчитанном размере, за исключением случая, если рассчитанный размер гранта превышает запрашиваемую сумму гранта.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Если рассчитанный размер гранта превышает запрашиваемую сумму гранта, грант предоставляется в размере запрашиваемой суммы гранта.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3.4. В случае если совокупный размер грантов, подлежащих предоставлению победителям отбора согласно </w:t>
      </w:r>
      <w:hyperlink w:anchor="P173">
        <w:r>
          <w:rPr>
            <w:color w:val="0000FF"/>
          </w:rPr>
          <w:t>пункту 3.3</w:t>
        </w:r>
      </w:hyperlink>
      <w:r>
        <w:t xml:space="preserve"> настоящего Порядка, не превышает лимитов бюджетных обязательств, доведенных до Министерства, гранты предоставляются в размерах, подлежащих предоставлению.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В случае если совокупный размер грантов, подлежащих предоставлению победителям отбора согласно </w:t>
      </w:r>
      <w:hyperlink w:anchor="P173">
        <w:r>
          <w:rPr>
            <w:color w:val="0000FF"/>
          </w:rPr>
          <w:t>пункту 3.3</w:t>
        </w:r>
      </w:hyperlink>
      <w:r>
        <w:t xml:space="preserve"> настоящего Порядка, превышает лимиты бюджетных обязательств, доведенные до Министерства, победители отбора получают государственную поддержку в </w:t>
      </w:r>
      <w:r>
        <w:lastRenderedPageBreak/>
        <w:t xml:space="preserve">порядке очередности подачи заявок в полном объеме сумм грантов, подлежащих предоставлению победителям отбора согласно </w:t>
      </w:r>
      <w:hyperlink w:anchor="P173">
        <w:r>
          <w:rPr>
            <w:color w:val="0000FF"/>
          </w:rPr>
          <w:t>пункту 3.3</w:t>
        </w:r>
      </w:hyperlink>
      <w:r>
        <w:t xml:space="preserve"> настоящего Порядка, до исчерпания лимитов бюджетных обязательств, доведенных до Министерства.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Остаток в размере менее суммы гранта, подлежащей предоставлению победителю отбора согласно </w:t>
      </w:r>
      <w:hyperlink w:anchor="P173">
        <w:r>
          <w:rPr>
            <w:color w:val="0000FF"/>
          </w:rPr>
          <w:t>пункту 3.3</w:t>
        </w:r>
      </w:hyperlink>
      <w:r>
        <w:t xml:space="preserve"> настоящего Порядка, предоставляется следующему участнику, подавшему заявку, при условии предоставления им согласия на получение меньшей суммы с гарантией выполнения заявленного Проекта.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15" w:name="P185"/>
      <w:bookmarkEnd w:id="15"/>
      <w:r>
        <w:t>3.5. Грант предоставляется при одновременном соблюдении следующих условий: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- соблюдение запрета на приобретение получателями грантов, а также иными юридическими лицами, получающими средства на основании договоров (соглашений), заключенных с получателями грантов, за счет полученных из бюджета Воронежской области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согласие получателей грантов, лиц, получающих средства на основании договоров (соглашений), заключенных с получателями грантов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бюджетных средств соблюдения условий и порядка предоставления гранта, в том числе в части достижения результатов предоставления гранта, а также проверки органами государственного финансового контроля в соответствии со </w:t>
      </w:r>
      <w:hyperlink r:id="rId16">
        <w:r>
          <w:rPr>
            <w:color w:val="0000FF"/>
          </w:rPr>
          <w:t>статьями 268.1</w:t>
        </w:r>
      </w:hyperlink>
      <w:r>
        <w:t xml:space="preserve"> и </w:t>
      </w:r>
      <w:hyperlink r:id="rId17">
        <w:r>
          <w:rPr>
            <w:color w:val="0000FF"/>
          </w:rPr>
          <w:t>269.2</w:t>
        </w:r>
      </w:hyperlink>
      <w:r>
        <w:t xml:space="preserve"> Бюджетного кодекса Российской Федерации и на включение таких положений в соглашение;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- предоставление обязательства о реализации согласованного проекта (в составе </w:t>
      </w:r>
      <w:hyperlink w:anchor="P249">
        <w:r>
          <w:rPr>
            <w:color w:val="0000FF"/>
          </w:rPr>
          <w:t>информации</w:t>
        </w:r>
      </w:hyperlink>
      <w:r>
        <w:t xml:space="preserve"> и обязательств по форме согласно приложению N 1 к настоящему Порядку).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3.6. Заключение соглашения осуществляется при условии соответствия победителя отбора требованиям, указанным в </w:t>
      </w:r>
      <w:hyperlink w:anchor="P92">
        <w:r>
          <w:rPr>
            <w:color w:val="0000FF"/>
          </w:rPr>
          <w:t>пункте 2.6</w:t>
        </w:r>
      </w:hyperlink>
      <w:r>
        <w:t xml:space="preserve"> настоящего Порядка.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16" w:name="P190"/>
      <w:bookmarkEnd w:id="16"/>
      <w:r>
        <w:t>3.7. Министерство в течение 5 рабочих дней с даты принятия Министерством решения о предоставлении грантов формирует и размещает соглашение в системе "Электронный бюджет".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17" w:name="P191"/>
      <w:bookmarkEnd w:id="17"/>
      <w:r>
        <w:t>Победитель отбора в течение 5 рабочих дней со дня формирования и размещения Министерством соглашения в системе "Электронный бюджет" подписывает соглашение.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3.8. Министерство в течение 10 рабочих дней с даты принятия Министерством решения о предоставлении гранта заключает с победителем отбора соглашение в системе "Электронный бюджет" в соответствии с типовой формой, установленной Министерством финансов Российской Федерации.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В случае незаключения соглашения в установленный </w:t>
      </w:r>
      <w:hyperlink w:anchor="P191">
        <w:r>
          <w:rPr>
            <w:color w:val="0000FF"/>
          </w:rPr>
          <w:t>абзацем вторым пункта 3.7</w:t>
        </w:r>
      </w:hyperlink>
      <w:r>
        <w:t xml:space="preserve"> настоящего Порядка срок по вине победителя отбора победитель отбора признается уклонившимся от заключения соглашения.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3.9. В соглашении предусматривается условие о необходимости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гранта в размере, определенном в соглашении, согласования новых условий соглашения или расторжения соглашения при </w:t>
      </w:r>
      <w:r>
        <w:lastRenderedPageBreak/>
        <w:t>недостижении согласия по новым условиям.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18" w:name="P195"/>
      <w:bookmarkEnd w:id="18"/>
      <w:r>
        <w:t>3.10. В случае принятия Министерством решения о внесении изменений в соглашение в течение 10 рабочих дней с даты принятия такого решения заключается дополнительное соглашение в соответствии с типовой формой, установленной Министерством финансов Российской Федерации, с соблюдением требований о защите государственной тайны в системе "Электронный бюджет".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Решение, указанное в </w:t>
      </w:r>
      <w:hyperlink w:anchor="P195">
        <w:r>
          <w:rPr>
            <w:color w:val="0000FF"/>
          </w:rPr>
          <w:t>абзаце первом</w:t>
        </w:r>
      </w:hyperlink>
      <w:r>
        <w:t xml:space="preserve"> настоящего пункта, принимается в форме приказа Министерства.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В течение 5 рабочих дней со дня принятия решения о внесении изменений в соглашение Министерство разрабатывает проект дополнительного соглашения, размещает его в системе "Электронный бюджет" и уведомляет получателя гранта о новых условиях и о внесении изменений в соглашение способом, указанным в заявке, в целях его согласования.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В течение 5 рабочих дней со дня получения проекта дополнительного соглашения получатель гранта заключает дополнительное соглашение или направляет в Министерство возражения.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При реорганизации получателя гранта,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При реорганизации получателя гранта, являющегося юридическим лицом, в форме разделения, выделения (за исключением случая, указанного в </w:t>
      </w:r>
      <w:hyperlink w:anchor="P202">
        <w:r>
          <w:rPr>
            <w:color w:val="0000FF"/>
          </w:rPr>
          <w:t>абзаце восьмом</w:t>
        </w:r>
      </w:hyperlink>
      <w:r>
        <w:t xml:space="preserve"> настоящего пункта), а также при ликвидации получателя гранта, являющегося юридическим лицом, или прекращении деятельности получателя гранта,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18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гранта обязательствах, источником финансового обеспечения которых является грант, и возврате неиспользованного остатка гранта в бюджет Воронежской области.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При прекращении деятельности получателя гранта,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19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Федерации, передающего свои права другому гражданину в соответствии со </w:t>
      </w:r>
      <w:hyperlink r:id="rId20">
        <w:r>
          <w:rPr>
            <w:color w:val="0000FF"/>
          </w:rPr>
          <w:t>статьей 18</w:t>
        </w:r>
      </w:hyperlink>
      <w:r>
        <w:t xml:space="preserve"> Федерального закона от 11.06.2003 N 74-ФЗ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19" w:name="P202"/>
      <w:bookmarkEnd w:id="19"/>
      <w:r>
        <w:t xml:space="preserve">При реорганизации получателя гранта, являющегося кредитной организацией, в отношении которой иностранными государствами и международными организациями введены ограничительные меры, в форме выделения в соответствии со </w:t>
      </w:r>
      <w:hyperlink r:id="rId21">
        <w:r>
          <w:rPr>
            <w:color w:val="0000FF"/>
          </w:rPr>
          <w:t>статьей 8</w:t>
        </w:r>
      </w:hyperlink>
      <w:r>
        <w:t xml:space="preserve"> Федерального закона от 14.07.2022 N 292-ФЗ "О внесении изменений в отдельные законодательные акты Российской Федерации, признании утратившим силу абзаца шестого части первой статьи 7 Закона Российской Федерации "О государственной тайне",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годах" обязательства по соглашению исполняются получателем гранта, в случае если по результатам такой реорганизации права и обязанности по </w:t>
      </w:r>
      <w:r>
        <w:lastRenderedPageBreak/>
        <w:t>соглашению сохраняются за получателем гранта.</w:t>
      </w:r>
    </w:p>
    <w:p w:rsidR="000C0551" w:rsidRDefault="000C0551">
      <w:pPr>
        <w:pStyle w:val="ConsPlusNormal"/>
        <w:spacing w:before="220"/>
        <w:ind w:firstLine="540"/>
        <w:jc w:val="both"/>
      </w:pPr>
      <w:bookmarkStart w:id="20" w:name="P203"/>
      <w:bookmarkEnd w:id="20"/>
      <w:r>
        <w:t>3.11. Результат предоставления гранта: реализованы мероприятия субъектами Российской Федерации в рамках предоставления единой субсидии из федерального бюджета бюджетам субъектов Российской Федерации в целях достижения показателя государственной программы "количество туристических поездок по территории Российской Федерации" (реализация проекта по созданию некапитальных объектов туристской инфраструктуры вблизи автомобильных дорог федерального, регионального, межмуниципального и местного значения в составе автомобильных туристских маршрутов Воронежской области, включающего в себя мероприятия, согласованные Минэкономразвития России, в том числе согласованный план реализации указанных мероприятий). Тип результата: оказание услуг (выполнение работ). Единица измерения результата: единица.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Получатель гранта принимает обязательство о достижении в году получения гранта результата предоставления гранта в соответствии с соглашением.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3.12. Гранты подлежат перечислению на лицевые счета получателей грантов, открытые в министерстве финансов Воронежской области, с учетом положений, установленных бюджетным законодательством Российской Федерации, не позднее 20-го рабочего дня, следующего за днем принятия Министерством решения о предоставлении гранта.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3.13. Для перечисления грантов, полученных на текущий финансовый год из средств, поступивших в бюджет Воронежской области из федерального бюджета, предусмотренных соглашением с Министерством экономического развития Российской Федерации, и средств областного бюджета, предусмотренных законом Воронежской области об областном бюджете на соответствующий финансовый год и на плановый период, Министерство представляет в министерство финансов Воронежской области распоряжения о совершении казначейских платежей (реестры финансирования на перечисление средств), заверенные в установленном порядке копии соглашений и копии реестров получателей грантов.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Title"/>
        <w:jc w:val="center"/>
        <w:outlineLvl w:val="1"/>
      </w:pPr>
      <w:r>
        <w:t>4. Требования к отчетности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ind w:firstLine="540"/>
        <w:jc w:val="both"/>
      </w:pPr>
      <w:bookmarkStart w:id="21" w:name="P210"/>
      <w:bookmarkEnd w:id="21"/>
      <w:r>
        <w:t>4.1. Получатель гранта ежеквартально в течение 5 рабочих дней, следующих за последним днем отчетного квартала, направляет в Министерство отчеты о достижении значения результата предоставления гранта и об осуществлении расходов, источником финансового обеспечения которых является грант, по формам, предусмотренным типовыми формами, установленными Министерством финансов Российской Федерации для соглашений, в системе "Электронный бюджет".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4.2. Министерство в течение 10 рабочих дней со дня получения отчетности, представленной получателем гранта в соответствии с </w:t>
      </w:r>
      <w:hyperlink w:anchor="P210">
        <w:r>
          <w:rPr>
            <w:color w:val="0000FF"/>
          </w:rPr>
          <w:t>пунктом 4.1</w:t>
        </w:r>
      </w:hyperlink>
      <w:r>
        <w:t xml:space="preserve"> настоящего Порядка, проверяет отчетность и принимает решение о приеме отчетности или об отказе в приеме отчетности.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Основанием для отказа в приеме отчетности является установление факта недостоверности представленной получателем гранта информации.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Получатель гранта должен быть проинформирован о принятом решении в течение 5 рабочих дней со дня его принятия (в случае отказа в приеме отчетности - с указанием причины принятия соответствующего решения).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Получатель гранта в течение 5 дней со дня получения отказа в приеме отчетности представляет в Министерство уточненную отчетность в порядке, установленном </w:t>
      </w:r>
      <w:hyperlink w:anchor="P210">
        <w:r>
          <w:rPr>
            <w:color w:val="0000FF"/>
          </w:rPr>
          <w:t>пунктом 4.1</w:t>
        </w:r>
      </w:hyperlink>
      <w:r>
        <w:t xml:space="preserve"> настоящего Порядка.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Title"/>
        <w:jc w:val="center"/>
        <w:outlineLvl w:val="1"/>
      </w:pPr>
      <w:r>
        <w:t>5. Требования об осуществлении контроля (мониторинга)</w:t>
      </w:r>
    </w:p>
    <w:p w:rsidR="000C0551" w:rsidRDefault="000C0551">
      <w:pPr>
        <w:pStyle w:val="ConsPlusTitle"/>
        <w:jc w:val="center"/>
      </w:pPr>
      <w:r>
        <w:lastRenderedPageBreak/>
        <w:t>за соблюдением условий и порядка предоставления грантов</w:t>
      </w:r>
    </w:p>
    <w:p w:rsidR="000C0551" w:rsidRDefault="000C0551">
      <w:pPr>
        <w:pStyle w:val="ConsPlusTitle"/>
        <w:jc w:val="center"/>
      </w:pPr>
      <w:r>
        <w:t>и ответственности за их нарушение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ind w:firstLine="540"/>
        <w:jc w:val="both"/>
      </w:pPr>
      <w:r>
        <w:t>5.1. Министерство осуществляет проверки соблюдения получателями грантов условий и порядка предоставления грантов, в том числе в части достижения результата предоставления гранта.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 xml:space="preserve">Органы государственного финансового контроля осуществляют проверки в соответствии со </w:t>
      </w:r>
      <w:hyperlink r:id="rId22">
        <w:r>
          <w:rPr>
            <w:color w:val="0000FF"/>
          </w:rPr>
          <w:t>статьями 268.1</w:t>
        </w:r>
      </w:hyperlink>
      <w:r>
        <w:t xml:space="preserve"> и </w:t>
      </w:r>
      <w:hyperlink r:id="rId23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5.2. Мониторинг достижения результатов предоставления гранта проводится Министерством исходя из достижения значений результатов предоставления гранта, определенных соглашением, и событий, отражающих факт завершения соответствующего мероприятия по получению результата предоставления гранта (контрольная точка), в порядке и по формам, которые установлены Министерством финансов Российской Федерации.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5.3. Ответственность за нецелевое использование предоставленного гранта, недостоверность сведений, содержащихся в документах, несет получатель гранта в соответствии с действующим законодательством.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5.4. В случае нарушения получателем гранта условий, установленных при предоставлении гранта, выявленного в том числе по фактам проверок, проведенных Министерством и органами государственного финансового контроля, а также в случае недостижения значения результата предоставления гранта средства гранта подлежат возврату в доход областного бюджета в соответствии с бюджетным законодательством Российской Федерации.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При выявлении нарушения условий, установленных при предоставлении гранта, Министерство принимает меры по возврату гранта посредством направления получателю гранта требования о возврате гранта в течение 20 рабочих дней с даты выявления нарушения. Грант подлежит возврату в областной бюджет в течение 30 календарных дней с даты получения требования.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При невозврате гранта в установленный срок Министерство принимает меры по взысканию подлежащего возврату гранта в областной бюджет в судебном порядке.</w:t>
      </w:r>
    </w:p>
    <w:p w:rsidR="000C0551" w:rsidRDefault="000C0551">
      <w:pPr>
        <w:pStyle w:val="ConsPlusNormal"/>
        <w:spacing w:before="220"/>
        <w:ind w:firstLine="540"/>
        <w:jc w:val="both"/>
      </w:pPr>
      <w:r>
        <w:t>5.5. Контроль за целевым использованием гранта осуществляет Министерство.</w:t>
      </w: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right"/>
        <w:outlineLvl w:val="1"/>
      </w:pPr>
      <w:r>
        <w:t>Приложение N 1</w:t>
      </w:r>
    </w:p>
    <w:p w:rsidR="000C0551" w:rsidRDefault="000C0551">
      <w:pPr>
        <w:pStyle w:val="ConsPlusNormal"/>
        <w:jc w:val="right"/>
      </w:pPr>
      <w:r>
        <w:t>к Порядку</w:t>
      </w:r>
    </w:p>
    <w:p w:rsidR="000C0551" w:rsidRDefault="000C0551">
      <w:pPr>
        <w:pStyle w:val="ConsPlusNormal"/>
        <w:jc w:val="right"/>
      </w:pPr>
      <w:r>
        <w:t>предоставления грантов в форме субсидий на</w:t>
      </w:r>
    </w:p>
    <w:p w:rsidR="000C0551" w:rsidRDefault="000C0551">
      <w:pPr>
        <w:pStyle w:val="ConsPlusNormal"/>
        <w:jc w:val="right"/>
      </w:pPr>
      <w:r>
        <w:t>поддержку проектов по созданию некапитальных</w:t>
      </w:r>
    </w:p>
    <w:p w:rsidR="000C0551" w:rsidRDefault="000C0551">
      <w:pPr>
        <w:pStyle w:val="ConsPlusNormal"/>
        <w:jc w:val="right"/>
      </w:pPr>
      <w:r>
        <w:t>объектов туристской инфраструктуры вблизи</w:t>
      </w:r>
    </w:p>
    <w:p w:rsidR="000C0551" w:rsidRDefault="000C0551">
      <w:pPr>
        <w:pStyle w:val="ConsPlusNormal"/>
        <w:jc w:val="right"/>
      </w:pPr>
      <w:r>
        <w:t>автомобильных дорог федерального, регионального,</w:t>
      </w:r>
    </w:p>
    <w:p w:rsidR="000C0551" w:rsidRDefault="000C0551">
      <w:pPr>
        <w:pStyle w:val="ConsPlusNormal"/>
        <w:jc w:val="right"/>
      </w:pPr>
      <w:r>
        <w:t>межмуниципального и местного значения в составе</w:t>
      </w:r>
    </w:p>
    <w:p w:rsidR="000C0551" w:rsidRDefault="000C0551">
      <w:pPr>
        <w:pStyle w:val="ConsPlusNormal"/>
        <w:jc w:val="right"/>
      </w:pPr>
      <w:r>
        <w:t>автомобильных туристских маршрутов Воронежской</w:t>
      </w:r>
    </w:p>
    <w:p w:rsidR="000C0551" w:rsidRDefault="000C0551">
      <w:pPr>
        <w:pStyle w:val="ConsPlusNormal"/>
        <w:jc w:val="right"/>
      </w:pPr>
      <w:r>
        <w:t>области в соответствии с государственной</w:t>
      </w:r>
    </w:p>
    <w:p w:rsidR="000C0551" w:rsidRDefault="000C0551">
      <w:pPr>
        <w:pStyle w:val="ConsPlusNormal"/>
        <w:jc w:val="right"/>
      </w:pPr>
      <w:r>
        <w:t>программой Воронежской области</w:t>
      </w:r>
    </w:p>
    <w:p w:rsidR="000C0551" w:rsidRDefault="000C0551">
      <w:pPr>
        <w:pStyle w:val="ConsPlusNormal"/>
        <w:jc w:val="right"/>
      </w:pPr>
      <w:r>
        <w:t>"Развитие культуры и туризма"</w:t>
      </w:r>
    </w:p>
    <w:p w:rsidR="000C0551" w:rsidRDefault="000C055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75"/>
        <w:gridCol w:w="883"/>
        <w:gridCol w:w="514"/>
        <w:gridCol w:w="1470"/>
        <w:gridCol w:w="3633"/>
      </w:tblGrid>
      <w:tr w:rsidR="000C0551"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</w:pPr>
            <w:r>
              <w:t>Министерство предпринимательства, торговли</w:t>
            </w:r>
          </w:p>
          <w:p w:rsidR="000C0551" w:rsidRDefault="000C0551">
            <w:pPr>
              <w:pStyle w:val="ConsPlusNormal"/>
            </w:pPr>
            <w:r>
              <w:lastRenderedPageBreak/>
              <w:t>и туризма Воронежской области</w:t>
            </w:r>
          </w:p>
        </w:tc>
      </w:tr>
      <w:tr w:rsidR="000C0551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</w:pPr>
          </w:p>
        </w:tc>
      </w:tr>
      <w:tr w:rsidR="000C0551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  <w:jc w:val="center"/>
            </w:pPr>
            <w:bookmarkStart w:id="22" w:name="P249"/>
            <w:bookmarkEnd w:id="22"/>
            <w:r>
              <w:t>Информация и обязательства</w:t>
            </w:r>
          </w:p>
          <w:p w:rsidR="000C0551" w:rsidRDefault="000C0551">
            <w:pPr>
              <w:pStyle w:val="ConsPlusNormal"/>
              <w:jc w:val="center"/>
            </w:pPr>
            <w:r>
              <w:t>__________________________________________________________</w:t>
            </w:r>
          </w:p>
          <w:p w:rsidR="000C0551" w:rsidRDefault="000C0551">
            <w:pPr>
              <w:pStyle w:val="ConsPlusNormal"/>
              <w:jc w:val="center"/>
            </w:pPr>
            <w:r>
              <w:t>(наименование участника отбора)</w:t>
            </w:r>
          </w:p>
        </w:tc>
      </w:tr>
      <w:tr w:rsidR="000C0551"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  <w:ind w:firstLine="283"/>
              <w:jc w:val="both"/>
            </w:pPr>
            <w:r>
              <w:t>Подтверждаю, что</w:t>
            </w:r>
          </w:p>
        </w:tc>
        <w:tc>
          <w:tcPr>
            <w:tcW w:w="65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  <w:jc w:val="center"/>
            </w:pPr>
            <w:r>
              <w:t>____________________________________________________</w:t>
            </w:r>
          </w:p>
          <w:p w:rsidR="000C0551" w:rsidRDefault="000C0551">
            <w:pPr>
              <w:pStyle w:val="ConsPlusNormal"/>
              <w:jc w:val="center"/>
            </w:pPr>
            <w:r>
              <w:t>(наименование участника отбора)</w:t>
            </w:r>
          </w:p>
        </w:tc>
      </w:tr>
      <w:tr w:rsidR="000C0551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  <w:jc w:val="both"/>
            </w:pPr>
            <w:r>
              <w:t xml:space="preserve">соответствует на дату подачи заявки на участие в отборе требованиям, установленным </w:t>
            </w:r>
            <w:hyperlink w:anchor="P92">
              <w:r>
                <w:rPr>
                  <w:color w:val="0000FF"/>
                </w:rPr>
                <w:t>пунктом 2.6</w:t>
              </w:r>
            </w:hyperlink>
            <w:r>
              <w:t xml:space="preserve"> Порядка предоставления грантов в форме субсидий на поддержку проектов по созданию некапитальных объектов туристской инфраструктуры вблизи автомобильных дорог федерального, регионального, межмуниципального и местного значения в составе автомобильных туристских маршрутов Воронежской области в соответствии с государственной </w:t>
            </w:r>
            <w:hyperlink r:id="rId24">
              <w:r>
                <w:rPr>
                  <w:color w:val="0000FF"/>
                </w:rPr>
                <w:t>программой</w:t>
              </w:r>
            </w:hyperlink>
            <w:r>
              <w:t xml:space="preserve"> Воронежской области "Развитие культуры и туризма", утвержденного постановлением Правительства Воронежской области от ___________ N ________ (далее соответственно - Порядок, грант).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Настоящим подтверждаю, что вся информация, содержащаяся в представленных документах или их копиях, является подлинной, и не возражаю против доступа к ней лиц, участвующих в рассмотрении документов для предоставления государственной поддержки.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Обязуюсь обеспечить реализацию проекта, включающего в себя мероприятия, согласованные Минэкономразвития России, в том числе согласованный план реализации указанных мероприятий, по созданию некапитальных объектов туристской инфраструктуры вблизи автомобильных дорог в радиусе не более 5 км от участков автомобильных дорог федерального значения и (или) не более 3 км от участков автомобильных дорог регионального, межмуниципального и местного значения в составе автомобильных туристских маршрутов Воронежской области.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Обязуюсь обеспечить софинансирование расходов, связанных с реализацией проекта, в размере не менее 30% от размера полученного гранта.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 xml:space="preserve">Даю согласие на осуществление проверки министерством предпринимательства, торговли и туризма Воронежской области соблюдения условий и порядка предоставления грантов, в том числе в части достижения результатов предоставления грантов, а также проверки органами государственного финансового контроля в соответствии со </w:t>
            </w:r>
            <w:hyperlink r:id="rId25">
              <w:r>
                <w:rPr>
                  <w:color w:val="0000FF"/>
                </w:rPr>
                <w:t>статьями 268.1</w:t>
              </w:r>
            </w:hyperlink>
            <w:r>
              <w:t xml:space="preserve"> и </w:t>
            </w:r>
            <w:hyperlink r:id="rId26">
              <w:r>
                <w:rPr>
                  <w:color w:val="0000FF"/>
                </w:rPr>
                <w:t>269.2</w:t>
              </w:r>
            </w:hyperlink>
            <w:r>
              <w:t xml:space="preserve"> Бюджетного кодекса Российской Федерации.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Настоящим даю согласие на публикацию (размещение) в информационно-телекоммуникационной сети "Интернет" информации о (об)</w:t>
            </w:r>
          </w:p>
          <w:p w:rsidR="000C0551" w:rsidRDefault="000C0551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0C0551" w:rsidRDefault="000C0551">
            <w:pPr>
              <w:pStyle w:val="ConsPlusNormal"/>
              <w:jc w:val="center"/>
            </w:pPr>
            <w:r>
              <w:t>(наименование юридического лица/индивидуального предпринимателя)</w:t>
            </w:r>
          </w:p>
          <w:p w:rsidR="000C0551" w:rsidRDefault="000C0551">
            <w:pPr>
              <w:pStyle w:val="ConsPlusNormal"/>
              <w:jc w:val="both"/>
            </w:pPr>
            <w:r>
              <w:t xml:space="preserve">как участнике отбора для предоставления грантов в форме субсидий на поддержку проектов по созданию некапитальных объектов туристской инфраструктуры вблизи автомобильных дорог федерального, регионального, межмуниципального и местного значения в составе автомобильных туристских маршрутов Воронежской области в соответствии с государственной </w:t>
            </w:r>
            <w:hyperlink r:id="rId27">
              <w:r>
                <w:rPr>
                  <w:color w:val="0000FF"/>
                </w:rPr>
                <w:t>программой</w:t>
              </w:r>
            </w:hyperlink>
            <w:r>
              <w:t xml:space="preserve"> Воронежской области "Развитие культуры и туризма", о подаваемой мной заявке и иной информации, связанной с соответствующим отбором.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Реквизиты участника отбора: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1. ИНН _____________________________________________________________.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2. Юридический адрес ________________________________________________.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3. Почтовый адрес ____________________________________________________.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4. Контактный телефон _______________________________________________.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5. Адрес электронной почты ___________________________________________.</w:t>
            </w:r>
          </w:p>
        </w:tc>
      </w:tr>
      <w:tr w:rsidR="000C0551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</w:pPr>
          </w:p>
        </w:tc>
      </w:tr>
      <w:tr w:rsidR="000C0551">
        <w:tc>
          <w:tcPr>
            <w:tcW w:w="3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</w:pPr>
            <w:r>
              <w:lastRenderedPageBreak/>
              <w:t>Руководитель участника отбора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  <w:jc w:val="center"/>
            </w:pPr>
            <w:r>
              <w:t>_____________</w:t>
            </w:r>
          </w:p>
          <w:p w:rsidR="000C0551" w:rsidRDefault="000C055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  <w:jc w:val="center"/>
            </w:pPr>
            <w:r>
              <w:t>__________________________</w:t>
            </w:r>
          </w:p>
          <w:p w:rsidR="000C0551" w:rsidRDefault="000C0551">
            <w:pPr>
              <w:pStyle w:val="ConsPlusNormal"/>
              <w:jc w:val="center"/>
            </w:pPr>
            <w:r>
              <w:t>(фамилия, имя, отчество</w:t>
            </w:r>
          </w:p>
          <w:p w:rsidR="000C0551" w:rsidRDefault="000C0551">
            <w:pPr>
              <w:pStyle w:val="ConsPlusNormal"/>
              <w:jc w:val="center"/>
            </w:pPr>
            <w:r>
              <w:t>(при наличии))</w:t>
            </w:r>
          </w:p>
        </w:tc>
      </w:tr>
      <w:tr w:rsidR="000C0551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</w:pPr>
            <w:r>
              <w:t>Дата ________________</w:t>
            </w:r>
          </w:p>
        </w:tc>
      </w:tr>
      <w:tr w:rsidR="000C0551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  <w:ind w:firstLine="283"/>
              <w:jc w:val="both"/>
            </w:pPr>
            <w:r>
              <w:t>МП (при наличии)</w:t>
            </w:r>
          </w:p>
        </w:tc>
      </w:tr>
    </w:tbl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right"/>
        <w:outlineLvl w:val="1"/>
      </w:pPr>
      <w:r>
        <w:t>Приложение N 2</w:t>
      </w:r>
    </w:p>
    <w:p w:rsidR="000C0551" w:rsidRDefault="000C0551">
      <w:pPr>
        <w:pStyle w:val="ConsPlusNormal"/>
        <w:jc w:val="right"/>
      </w:pPr>
      <w:r>
        <w:t>к Порядку</w:t>
      </w:r>
    </w:p>
    <w:p w:rsidR="000C0551" w:rsidRDefault="000C0551">
      <w:pPr>
        <w:pStyle w:val="ConsPlusNormal"/>
        <w:jc w:val="right"/>
      </w:pPr>
      <w:r>
        <w:t>предоставления грантов в форме субсидий на</w:t>
      </w:r>
    </w:p>
    <w:p w:rsidR="000C0551" w:rsidRDefault="000C0551">
      <w:pPr>
        <w:pStyle w:val="ConsPlusNormal"/>
        <w:jc w:val="right"/>
      </w:pPr>
      <w:r>
        <w:t>поддержку проектов по созданию некапитальных</w:t>
      </w:r>
    </w:p>
    <w:p w:rsidR="000C0551" w:rsidRDefault="000C0551">
      <w:pPr>
        <w:pStyle w:val="ConsPlusNormal"/>
        <w:jc w:val="right"/>
      </w:pPr>
      <w:r>
        <w:t>объектов туристской инфраструктуры вблизи</w:t>
      </w:r>
    </w:p>
    <w:p w:rsidR="000C0551" w:rsidRDefault="000C0551">
      <w:pPr>
        <w:pStyle w:val="ConsPlusNormal"/>
        <w:jc w:val="right"/>
      </w:pPr>
      <w:r>
        <w:t>автомобильных дорог федерального, регионального,</w:t>
      </w:r>
    </w:p>
    <w:p w:rsidR="000C0551" w:rsidRDefault="000C0551">
      <w:pPr>
        <w:pStyle w:val="ConsPlusNormal"/>
        <w:jc w:val="right"/>
      </w:pPr>
      <w:r>
        <w:t>межмуниципального и местного значения в составе</w:t>
      </w:r>
    </w:p>
    <w:p w:rsidR="000C0551" w:rsidRDefault="000C0551">
      <w:pPr>
        <w:pStyle w:val="ConsPlusNormal"/>
        <w:jc w:val="right"/>
      </w:pPr>
      <w:r>
        <w:t>автомобильных туристских маршрутов Воронежской</w:t>
      </w:r>
    </w:p>
    <w:p w:rsidR="000C0551" w:rsidRDefault="000C0551">
      <w:pPr>
        <w:pStyle w:val="ConsPlusNormal"/>
        <w:jc w:val="right"/>
      </w:pPr>
      <w:r>
        <w:t>области в соответствии с государственной</w:t>
      </w:r>
    </w:p>
    <w:p w:rsidR="000C0551" w:rsidRDefault="000C0551">
      <w:pPr>
        <w:pStyle w:val="ConsPlusNormal"/>
        <w:jc w:val="right"/>
      </w:pPr>
      <w:r>
        <w:t>программой Воронежской области</w:t>
      </w:r>
    </w:p>
    <w:p w:rsidR="000C0551" w:rsidRDefault="000C0551">
      <w:pPr>
        <w:pStyle w:val="ConsPlusNormal"/>
        <w:jc w:val="right"/>
      </w:pPr>
      <w:r>
        <w:t>"Развитие культуры и туризма"</w:t>
      </w:r>
    </w:p>
    <w:p w:rsidR="000C0551" w:rsidRDefault="000C0551">
      <w:pPr>
        <w:pStyle w:val="ConsPlusNormal"/>
        <w:jc w:val="both"/>
      </w:pPr>
    </w:p>
    <w:tbl>
      <w:tblPr>
        <w:tblW w:w="0" w:type="auto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84"/>
        <w:gridCol w:w="1304"/>
        <w:gridCol w:w="1241"/>
        <w:gridCol w:w="629"/>
        <w:gridCol w:w="1191"/>
        <w:gridCol w:w="1047"/>
        <w:gridCol w:w="1304"/>
        <w:gridCol w:w="1361"/>
      </w:tblGrid>
      <w:tr w:rsidR="000C0551">
        <w:tc>
          <w:tcPr>
            <w:tcW w:w="89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  <w:jc w:val="center"/>
            </w:pPr>
            <w:bookmarkStart w:id="23" w:name="P296"/>
            <w:bookmarkEnd w:id="23"/>
            <w:r>
              <w:t>Паспорт проекта</w:t>
            </w:r>
          </w:p>
          <w:p w:rsidR="000C0551" w:rsidRDefault="000C0551">
            <w:pPr>
              <w:pStyle w:val="ConsPlusNormal"/>
              <w:jc w:val="center"/>
            </w:pPr>
            <w:r>
              <w:t>по созданию некапитальных объектов туристской инфраструктуры вблизи автомобильных дорог федерального, регионального, межмуниципального и местного значения в составе автомобильных туристских маршрутов Воронежской области в соответствии с государственной программой Воронежской области "Развитие культуры и туризма"</w:t>
            </w:r>
          </w:p>
        </w:tc>
      </w:tr>
      <w:tr w:rsidR="000C0551">
        <w:tc>
          <w:tcPr>
            <w:tcW w:w="89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  <w:jc w:val="center"/>
            </w:pPr>
            <w:r>
              <w:t>_______________________________________________________________________</w:t>
            </w:r>
          </w:p>
          <w:p w:rsidR="000C0551" w:rsidRDefault="000C0551">
            <w:pPr>
              <w:pStyle w:val="ConsPlusNormal"/>
              <w:jc w:val="center"/>
            </w:pPr>
            <w:r>
              <w:t>_______________________________________________________________________</w:t>
            </w:r>
          </w:p>
          <w:p w:rsidR="000C0551" w:rsidRDefault="000C0551">
            <w:pPr>
              <w:pStyle w:val="ConsPlusNormal"/>
              <w:jc w:val="center"/>
            </w:pPr>
            <w:r>
              <w:t>(наименование юридического лица или фамилия, имя, отчество (при наличии) индивидуального предпринимателя, адрес, место нахождения (для юридического лица), почтовый адрес, адрес электронной почты, номер контактного телефона)</w:t>
            </w:r>
          </w:p>
        </w:tc>
      </w:tr>
      <w:tr w:rsidR="000C0551">
        <w:tc>
          <w:tcPr>
            <w:tcW w:w="8990" w:type="dxa"/>
            <w:gridSpan w:val="9"/>
            <w:tcBorders>
              <w:top w:val="nil"/>
              <w:left w:val="nil"/>
              <w:right w:val="nil"/>
            </w:tcBorders>
          </w:tcPr>
          <w:p w:rsidR="000C0551" w:rsidRDefault="000C0551">
            <w:pPr>
              <w:pStyle w:val="ConsPlusNormal"/>
              <w:ind w:firstLine="540"/>
              <w:jc w:val="both"/>
            </w:pPr>
            <w:r>
              <w:t>1. Общая характеристика проекта.</w:t>
            </w: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087" w:type="dxa"/>
            <w:gridSpan w:val="5"/>
            <w:vAlign w:val="bottom"/>
          </w:tcPr>
          <w:p w:rsidR="000C0551" w:rsidRDefault="000C0551">
            <w:pPr>
              <w:pStyle w:val="ConsPlusNormal"/>
              <w:jc w:val="both"/>
            </w:pPr>
            <w:r>
              <w:t>Наименование проекта</w:t>
            </w:r>
          </w:p>
        </w:tc>
        <w:tc>
          <w:tcPr>
            <w:tcW w:w="4903" w:type="dxa"/>
            <w:gridSpan w:val="4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087" w:type="dxa"/>
            <w:gridSpan w:val="5"/>
          </w:tcPr>
          <w:p w:rsidR="000C0551" w:rsidRDefault="000C0551">
            <w:pPr>
              <w:pStyle w:val="ConsPlusNormal"/>
            </w:pPr>
            <w:r>
              <w:t>Цель и задачи проекта</w:t>
            </w:r>
          </w:p>
        </w:tc>
        <w:tc>
          <w:tcPr>
            <w:tcW w:w="4903" w:type="dxa"/>
            <w:gridSpan w:val="4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087" w:type="dxa"/>
            <w:gridSpan w:val="5"/>
          </w:tcPr>
          <w:p w:rsidR="000C0551" w:rsidRDefault="000C0551">
            <w:pPr>
              <w:pStyle w:val="ConsPlusNormal"/>
            </w:pPr>
            <w:r>
              <w:t>Инициатор проекта</w:t>
            </w:r>
          </w:p>
        </w:tc>
        <w:tc>
          <w:tcPr>
            <w:tcW w:w="4903" w:type="dxa"/>
            <w:gridSpan w:val="4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087" w:type="dxa"/>
            <w:gridSpan w:val="5"/>
          </w:tcPr>
          <w:p w:rsidR="000C0551" w:rsidRDefault="000C0551">
            <w:pPr>
              <w:pStyle w:val="ConsPlusNormal"/>
            </w:pPr>
            <w:r>
              <w:t>Продолжительность реализации проекта (количество месяцев)</w:t>
            </w:r>
          </w:p>
        </w:tc>
        <w:tc>
          <w:tcPr>
            <w:tcW w:w="4903" w:type="dxa"/>
            <w:gridSpan w:val="4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087" w:type="dxa"/>
            <w:gridSpan w:val="5"/>
          </w:tcPr>
          <w:p w:rsidR="000C0551" w:rsidRDefault="000C0551">
            <w:pPr>
              <w:pStyle w:val="ConsPlusNormal"/>
            </w:pPr>
            <w:r>
              <w:t>Общие расходы по проекту, рублей</w:t>
            </w:r>
          </w:p>
        </w:tc>
        <w:tc>
          <w:tcPr>
            <w:tcW w:w="4903" w:type="dxa"/>
            <w:gridSpan w:val="4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087" w:type="dxa"/>
            <w:gridSpan w:val="5"/>
          </w:tcPr>
          <w:p w:rsidR="000C0551" w:rsidRDefault="000C0551">
            <w:pPr>
              <w:pStyle w:val="ConsPlusNormal"/>
              <w:jc w:val="both"/>
            </w:pPr>
            <w:r>
              <w:t>Размер гранта, рублей</w:t>
            </w:r>
          </w:p>
        </w:tc>
        <w:tc>
          <w:tcPr>
            <w:tcW w:w="4903" w:type="dxa"/>
            <w:gridSpan w:val="4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087" w:type="dxa"/>
            <w:gridSpan w:val="5"/>
          </w:tcPr>
          <w:p w:rsidR="000C0551" w:rsidRDefault="000C0551">
            <w:pPr>
              <w:pStyle w:val="ConsPlusNormal"/>
              <w:jc w:val="both"/>
            </w:pPr>
            <w:r>
              <w:t>Размер софинансирования, рублей (собственные средства, включая заемные)</w:t>
            </w:r>
          </w:p>
        </w:tc>
        <w:tc>
          <w:tcPr>
            <w:tcW w:w="4903" w:type="dxa"/>
            <w:gridSpan w:val="4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087" w:type="dxa"/>
            <w:gridSpan w:val="5"/>
          </w:tcPr>
          <w:p w:rsidR="000C0551" w:rsidRDefault="000C0551">
            <w:pPr>
              <w:pStyle w:val="ConsPlusNormal"/>
              <w:jc w:val="both"/>
            </w:pPr>
            <w:r>
              <w:lastRenderedPageBreak/>
              <w:t>Размер потраченных и подтвержденных документально собственных средств для целей реализации заявленного проекта на дату подачи заявки, рублей</w:t>
            </w:r>
          </w:p>
        </w:tc>
        <w:tc>
          <w:tcPr>
            <w:tcW w:w="4903" w:type="dxa"/>
            <w:gridSpan w:val="4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087" w:type="dxa"/>
            <w:gridSpan w:val="5"/>
          </w:tcPr>
          <w:p w:rsidR="000C0551" w:rsidRDefault="000C0551">
            <w:pPr>
              <w:pStyle w:val="ConsPlusNormal"/>
            </w:pPr>
            <w:r>
              <w:t>Место реализации проекта (населенный пункт, муниципальный район/городской округ)</w:t>
            </w:r>
          </w:p>
        </w:tc>
        <w:tc>
          <w:tcPr>
            <w:tcW w:w="4903" w:type="dxa"/>
            <w:gridSpan w:val="4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insideH w:val="single" w:sz="4" w:space="0" w:color="auto"/>
          </w:tblBorders>
        </w:tblPrEx>
        <w:tc>
          <w:tcPr>
            <w:tcW w:w="8990" w:type="dxa"/>
            <w:gridSpan w:val="9"/>
            <w:tcBorders>
              <w:left w:val="nil"/>
              <w:right w:val="nil"/>
            </w:tcBorders>
          </w:tcPr>
          <w:p w:rsidR="000C0551" w:rsidRDefault="000C0551">
            <w:pPr>
              <w:pStyle w:val="ConsPlusNormal"/>
              <w:ind w:firstLine="283"/>
              <w:jc w:val="both"/>
            </w:pPr>
            <w:r>
              <w:t>2. Краткое описание проекта, цели и задачи реализации проекта.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2.1. Цели проекта.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2.2. Задачи проекта.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2.3. План мероприятий (перечень мероприятий, которые необходимо выполнить для реализации задач проекта, при этом данный перечень должен совпадать с перечнем мероприятий, приведенным в разделе 5 "Этапы реализации проекта", и с планом реализации мероприятий проекта, согласованным Минэкономразвития России).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2.4. Срок реализации проекта (даты начала и окончания).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2.5. Краткое описание организационного процесса реализации проекта с указанием последующих сроков функционирования или эксплуатации при необходимости вложений в оборудование или услугу, описание приобретаемого оборудования с указанием количества, а также срока его полезного использования, ожидаемые результаты реализации проекта.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2.6. Краткое описание стратегии продвижения реализованного проекта.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2.7. Предполагаемое увеличение количества привлекаемых туристов в течение года, следующего за годом получения гранта, в соотношении с предыдущим годом.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2.8. Партнеры и (или) соисполнители (если применимо - с указанием опыта, компетенции и конкретных задач, к выполнению которых они привлекаются или будут привлекаться).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3. Сведения о руководителях, членах коллегиального исполнительного органа, лице, исполняющем функции единоличного исполнительного органа, или главных бухгалтерах (при наличии) участников отбора (фамилия, имя, отчество (при наличии)).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4. Информация о наличии у участника отбора опыта реализации проектов в туристской сфере.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5. Этапы реализации проекта.</w:t>
            </w: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9" w:type="dxa"/>
            <w:vAlign w:val="center"/>
          </w:tcPr>
          <w:p w:rsidR="000C0551" w:rsidRDefault="000C05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88" w:type="dxa"/>
            <w:gridSpan w:val="2"/>
            <w:vAlign w:val="center"/>
          </w:tcPr>
          <w:p w:rsidR="000C0551" w:rsidRDefault="000C0551">
            <w:pPr>
              <w:pStyle w:val="ConsPlusNormal"/>
              <w:jc w:val="center"/>
            </w:pPr>
            <w:r>
              <w:t>Решаемая задача/задачи проекта</w:t>
            </w:r>
          </w:p>
        </w:tc>
        <w:tc>
          <w:tcPr>
            <w:tcW w:w="3061" w:type="dxa"/>
            <w:gridSpan w:val="3"/>
            <w:vAlign w:val="center"/>
          </w:tcPr>
          <w:p w:rsidR="000C0551" w:rsidRDefault="000C0551">
            <w:pPr>
              <w:pStyle w:val="ConsPlusNormal"/>
              <w:jc w:val="center"/>
            </w:pPr>
            <w:r>
              <w:t>Мероприятие/ мероприятия, направленные на выполнение задач проекта</w:t>
            </w:r>
          </w:p>
        </w:tc>
        <w:tc>
          <w:tcPr>
            <w:tcW w:w="1047" w:type="dxa"/>
            <w:vAlign w:val="center"/>
          </w:tcPr>
          <w:p w:rsidR="000C0551" w:rsidRDefault="000C0551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1304" w:type="dxa"/>
            <w:vAlign w:val="center"/>
          </w:tcPr>
          <w:p w:rsidR="000C0551" w:rsidRDefault="000C0551">
            <w:pPr>
              <w:pStyle w:val="ConsPlusNormal"/>
              <w:jc w:val="center"/>
            </w:pPr>
            <w:r>
              <w:t>Дата завершения</w:t>
            </w:r>
          </w:p>
        </w:tc>
        <w:tc>
          <w:tcPr>
            <w:tcW w:w="1361" w:type="dxa"/>
            <w:vAlign w:val="center"/>
          </w:tcPr>
          <w:p w:rsidR="000C0551" w:rsidRDefault="000C0551">
            <w:pPr>
              <w:pStyle w:val="ConsPlusNormal"/>
              <w:jc w:val="center"/>
            </w:pPr>
            <w:r>
              <w:t>Ожидаемые итоги</w:t>
            </w: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9" w:type="dxa"/>
            <w:vAlign w:val="center"/>
          </w:tcPr>
          <w:p w:rsidR="000C0551" w:rsidRDefault="000C05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8" w:type="dxa"/>
            <w:gridSpan w:val="2"/>
          </w:tcPr>
          <w:p w:rsidR="000C0551" w:rsidRDefault="000C0551">
            <w:pPr>
              <w:pStyle w:val="ConsPlusNormal"/>
            </w:pPr>
          </w:p>
        </w:tc>
        <w:tc>
          <w:tcPr>
            <w:tcW w:w="3061" w:type="dxa"/>
            <w:gridSpan w:val="3"/>
          </w:tcPr>
          <w:p w:rsidR="000C0551" w:rsidRDefault="000C0551">
            <w:pPr>
              <w:pStyle w:val="ConsPlusNormal"/>
            </w:pPr>
          </w:p>
        </w:tc>
        <w:tc>
          <w:tcPr>
            <w:tcW w:w="1047" w:type="dxa"/>
          </w:tcPr>
          <w:p w:rsidR="000C0551" w:rsidRDefault="000C0551">
            <w:pPr>
              <w:pStyle w:val="ConsPlusNormal"/>
            </w:pPr>
          </w:p>
        </w:tc>
        <w:tc>
          <w:tcPr>
            <w:tcW w:w="1304" w:type="dxa"/>
          </w:tcPr>
          <w:p w:rsidR="000C0551" w:rsidRDefault="000C0551">
            <w:pPr>
              <w:pStyle w:val="ConsPlusNormal"/>
            </w:pPr>
          </w:p>
        </w:tc>
        <w:tc>
          <w:tcPr>
            <w:tcW w:w="1361" w:type="dxa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9" w:type="dxa"/>
            <w:vAlign w:val="center"/>
          </w:tcPr>
          <w:p w:rsidR="000C0551" w:rsidRDefault="000C05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8" w:type="dxa"/>
            <w:gridSpan w:val="2"/>
          </w:tcPr>
          <w:p w:rsidR="000C0551" w:rsidRDefault="000C0551">
            <w:pPr>
              <w:pStyle w:val="ConsPlusNormal"/>
            </w:pPr>
          </w:p>
        </w:tc>
        <w:tc>
          <w:tcPr>
            <w:tcW w:w="3061" w:type="dxa"/>
            <w:gridSpan w:val="3"/>
          </w:tcPr>
          <w:p w:rsidR="000C0551" w:rsidRDefault="000C0551">
            <w:pPr>
              <w:pStyle w:val="ConsPlusNormal"/>
            </w:pPr>
          </w:p>
        </w:tc>
        <w:tc>
          <w:tcPr>
            <w:tcW w:w="1047" w:type="dxa"/>
          </w:tcPr>
          <w:p w:rsidR="000C0551" w:rsidRDefault="000C0551">
            <w:pPr>
              <w:pStyle w:val="ConsPlusNormal"/>
            </w:pPr>
          </w:p>
        </w:tc>
        <w:tc>
          <w:tcPr>
            <w:tcW w:w="1304" w:type="dxa"/>
          </w:tcPr>
          <w:p w:rsidR="000C0551" w:rsidRDefault="000C0551">
            <w:pPr>
              <w:pStyle w:val="ConsPlusNormal"/>
            </w:pPr>
          </w:p>
        </w:tc>
        <w:tc>
          <w:tcPr>
            <w:tcW w:w="1361" w:type="dxa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9" w:type="dxa"/>
          </w:tcPr>
          <w:p w:rsidR="000C0551" w:rsidRDefault="000C05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8" w:type="dxa"/>
            <w:gridSpan w:val="2"/>
          </w:tcPr>
          <w:p w:rsidR="000C0551" w:rsidRDefault="000C0551">
            <w:pPr>
              <w:pStyle w:val="ConsPlusNormal"/>
            </w:pPr>
          </w:p>
        </w:tc>
        <w:tc>
          <w:tcPr>
            <w:tcW w:w="3061" w:type="dxa"/>
            <w:gridSpan w:val="3"/>
          </w:tcPr>
          <w:p w:rsidR="000C0551" w:rsidRDefault="000C0551">
            <w:pPr>
              <w:pStyle w:val="ConsPlusNormal"/>
            </w:pPr>
          </w:p>
        </w:tc>
        <w:tc>
          <w:tcPr>
            <w:tcW w:w="1047" w:type="dxa"/>
          </w:tcPr>
          <w:p w:rsidR="000C0551" w:rsidRDefault="000C0551">
            <w:pPr>
              <w:pStyle w:val="ConsPlusNormal"/>
            </w:pPr>
          </w:p>
        </w:tc>
        <w:tc>
          <w:tcPr>
            <w:tcW w:w="1304" w:type="dxa"/>
          </w:tcPr>
          <w:p w:rsidR="000C0551" w:rsidRDefault="000C0551">
            <w:pPr>
              <w:pStyle w:val="ConsPlusNormal"/>
            </w:pPr>
          </w:p>
        </w:tc>
        <w:tc>
          <w:tcPr>
            <w:tcW w:w="1361" w:type="dxa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9" w:type="dxa"/>
          </w:tcPr>
          <w:p w:rsidR="000C0551" w:rsidRDefault="000C055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88" w:type="dxa"/>
            <w:gridSpan w:val="2"/>
          </w:tcPr>
          <w:p w:rsidR="000C0551" w:rsidRDefault="000C0551">
            <w:pPr>
              <w:pStyle w:val="ConsPlusNormal"/>
            </w:pPr>
          </w:p>
        </w:tc>
        <w:tc>
          <w:tcPr>
            <w:tcW w:w="3061" w:type="dxa"/>
            <w:gridSpan w:val="3"/>
          </w:tcPr>
          <w:p w:rsidR="000C0551" w:rsidRDefault="000C0551">
            <w:pPr>
              <w:pStyle w:val="ConsPlusNormal"/>
            </w:pPr>
          </w:p>
        </w:tc>
        <w:tc>
          <w:tcPr>
            <w:tcW w:w="1047" w:type="dxa"/>
          </w:tcPr>
          <w:p w:rsidR="000C0551" w:rsidRDefault="000C0551">
            <w:pPr>
              <w:pStyle w:val="ConsPlusNormal"/>
            </w:pPr>
          </w:p>
        </w:tc>
        <w:tc>
          <w:tcPr>
            <w:tcW w:w="1304" w:type="dxa"/>
          </w:tcPr>
          <w:p w:rsidR="000C0551" w:rsidRDefault="000C0551">
            <w:pPr>
              <w:pStyle w:val="ConsPlusNormal"/>
            </w:pPr>
          </w:p>
        </w:tc>
        <w:tc>
          <w:tcPr>
            <w:tcW w:w="1361" w:type="dxa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insideH w:val="single" w:sz="4" w:space="0" w:color="auto"/>
          </w:tblBorders>
        </w:tblPrEx>
        <w:tc>
          <w:tcPr>
            <w:tcW w:w="8990" w:type="dxa"/>
            <w:gridSpan w:val="9"/>
            <w:tcBorders>
              <w:left w:val="nil"/>
              <w:right w:val="nil"/>
            </w:tcBorders>
          </w:tcPr>
          <w:p w:rsidR="000C0551" w:rsidRDefault="000C0551">
            <w:pPr>
              <w:pStyle w:val="ConsPlusNormal"/>
              <w:ind w:firstLine="283"/>
              <w:jc w:val="both"/>
            </w:pPr>
            <w:r>
              <w:t>6. Обоснование необходимости финансового обеспечения расходов, связанных с реализацией проекта (размера запрашиваемого гранта).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7. Направления расходов на реализацию проекта.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 xml:space="preserve">7.1. Планируемые (предполагаемые) расходы в рамках реализации проекта за счет средств гранта в соответствии с </w:t>
            </w:r>
            <w:hyperlink w:anchor="P162">
              <w:r>
                <w:rPr>
                  <w:color w:val="0000FF"/>
                </w:rPr>
                <w:t>пунктом 3.1</w:t>
              </w:r>
            </w:hyperlink>
            <w:r>
              <w:t xml:space="preserve"> Порядка предоставления грантов в форме субсидий на поддержку проектов по созданию некапитальных объектов туристской инфраструктуры вблизи автомобильных дорог федерального, регионального, межмуниципального и местного значения в составе автомобильных туристских маршрутов Воронежской области в соответствии с государственной </w:t>
            </w:r>
            <w:hyperlink r:id="rId28">
              <w:r>
                <w:rPr>
                  <w:color w:val="0000FF"/>
                </w:rPr>
                <w:t>программой</w:t>
              </w:r>
            </w:hyperlink>
            <w:r>
              <w:t xml:space="preserve"> Воронежской области "Развитие культуры и туризма", утвержденного постановлением Правительства Воронежской </w:t>
            </w:r>
            <w:r>
              <w:lastRenderedPageBreak/>
              <w:t>области от ____________ N ________ (далее - Порядок):</w:t>
            </w: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13" w:type="dxa"/>
            <w:gridSpan w:val="2"/>
          </w:tcPr>
          <w:p w:rsidR="000C0551" w:rsidRDefault="000C055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412" w:type="dxa"/>
            <w:gridSpan w:val="5"/>
          </w:tcPr>
          <w:p w:rsidR="000C0551" w:rsidRDefault="000C0551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665" w:type="dxa"/>
            <w:gridSpan w:val="2"/>
          </w:tcPr>
          <w:p w:rsidR="000C0551" w:rsidRDefault="000C0551">
            <w:pPr>
              <w:pStyle w:val="ConsPlusNormal"/>
              <w:jc w:val="center"/>
            </w:pPr>
            <w:r>
              <w:t>Стоимость (рублей)</w:t>
            </w: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13" w:type="dxa"/>
            <w:gridSpan w:val="2"/>
          </w:tcPr>
          <w:p w:rsidR="000C0551" w:rsidRDefault="000C05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12" w:type="dxa"/>
            <w:gridSpan w:val="5"/>
          </w:tcPr>
          <w:p w:rsidR="000C0551" w:rsidRDefault="000C0551">
            <w:pPr>
              <w:pStyle w:val="ConsPlusNormal"/>
            </w:pPr>
          </w:p>
        </w:tc>
        <w:tc>
          <w:tcPr>
            <w:tcW w:w="2665" w:type="dxa"/>
            <w:gridSpan w:val="2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13" w:type="dxa"/>
            <w:gridSpan w:val="2"/>
          </w:tcPr>
          <w:p w:rsidR="000C0551" w:rsidRDefault="000C05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12" w:type="dxa"/>
            <w:gridSpan w:val="5"/>
          </w:tcPr>
          <w:p w:rsidR="000C0551" w:rsidRDefault="000C0551">
            <w:pPr>
              <w:pStyle w:val="ConsPlusNormal"/>
            </w:pPr>
          </w:p>
        </w:tc>
        <w:tc>
          <w:tcPr>
            <w:tcW w:w="2665" w:type="dxa"/>
            <w:gridSpan w:val="2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13" w:type="dxa"/>
            <w:gridSpan w:val="2"/>
          </w:tcPr>
          <w:p w:rsidR="000C0551" w:rsidRDefault="000C055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5412" w:type="dxa"/>
            <w:gridSpan w:val="5"/>
          </w:tcPr>
          <w:p w:rsidR="000C0551" w:rsidRDefault="000C0551">
            <w:pPr>
              <w:pStyle w:val="ConsPlusNormal"/>
            </w:pPr>
          </w:p>
        </w:tc>
        <w:tc>
          <w:tcPr>
            <w:tcW w:w="2665" w:type="dxa"/>
            <w:gridSpan w:val="2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325" w:type="dxa"/>
            <w:gridSpan w:val="7"/>
          </w:tcPr>
          <w:p w:rsidR="000C0551" w:rsidRDefault="000C0551">
            <w:pPr>
              <w:pStyle w:val="ConsPlusNormal"/>
            </w:pPr>
            <w:r>
              <w:t>Итого</w:t>
            </w:r>
          </w:p>
        </w:tc>
        <w:tc>
          <w:tcPr>
            <w:tcW w:w="2665" w:type="dxa"/>
            <w:gridSpan w:val="2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insideH w:val="single" w:sz="4" w:space="0" w:color="auto"/>
          </w:tblBorders>
        </w:tblPrEx>
        <w:tc>
          <w:tcPr>
            <w:tcW w:w="8990" w:type="dxa"/>
            <w:gridSpan w:val="9"/>
            <w:tcBorders>
              <w:left w:val="nil"/>
              <w:right w:val="nil"/>
            </w:tcBorders>
          </w:tcPr>
          <w:p w:rsidR="000C0551" w:rsidRDefault="000C0551">
            <w:pPr>
              <w:pStyle w:val="ConsPlusNormal"/>
              <w:ind w:firstLine="283"/>
              <w:jc w:val="both"/>
            </w:pPr>
            <w:r>
              <w:t xml:space="preserve">7.2. Планируемые (предполагаемые) расходы, связанные с осуществлением проекта, в размере не менее 30% от размера гранта за счет собственных средств (софинансирование) в соответствии с </w:t>
            </w:r>
            <w:hyperlink w:anchor="P162">
              <w:r>
                <w:rPr>
                  <w:color w:val="0000FF"/>
                </w:rPr>
                <w:t>пунктом 3.1</w:t>
              </w:r>
            </w:hyperlink>
            <w:r>
              <w:t xml:space="preserve"> Порядка:</w:t>
            </w: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13" w:type="dxa"/>
            <w:gridSpan w:val="2"/>
          </w:tcPr>
          <w:p w:rsidR="000C0551" w:rsidRDefault="000C05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12" w:type="dxa"/>
            <w:gridSpan w:val="5"/>
          </w:tcPr>
          <w:p w:rsidR="000C0551" w:rsidRDefault="000C0551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665" w:type="dxa"/>
            <w:gridSpan w:val="2"/>
          </w:tcPr>
          <w:p w:rsidR="000C0551" w:rsidRDefault="000C0551">
            <w:pPr>
              <w:pStyle w:val="ConsPlusNormal"/>
              <w:jc w:val="center"/>
            </w:pPr>
            <w:r>
              <w:t>Стоимость (рублей)</w:t>
            </w: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13" w:type="dxa"/>
            <w:gridSpan w:val="2"/>
          </w:tcPr>
          <w:p w:rsidR="000C0551" w:rsidRDefault="000C05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12" w:type="dxa"/>
            <w:gridSpan w:val="5"/>
          </w:tcPr>
          <w:p w:rsidR="000C0551" w:rsidRDefault="000C0551">
            <w:pPr>
              <w:pStyle w:val="ConsPlusNormal"/>
            </w:pPr>
          </w:p>
        </w:tc>
        <w:tc>
          <w:tcPr>
            <w:tcW w:w="2665" w:type="dxa"/>
            <w:gridSpan w:val="2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13" w:type="dxa"/>
            <w:gridSpan w:val="2"/>
          </w:tcPr>
          <w:p w:rsidR="000C0551" w:rsidRDefault="000C05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12" w:type="dxa"/>
            <w:gridSpan w:val="5"/>
          </w:tcPr>
          <w:p w:rsidR="000C0551" w:rsidRDefault="000C0551">
            <w:pPr>
              <w:pStyle w:val="ConsPlusNormal"/>
            </w:pPr>
          </w:p>
        </w:tc>
        <w:tc>
          <w:tcPr>
            <w:tcW w:w="2665" w:type="dxa"/>
            <w:gridSpan w:val="2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13" w:type="dxa"/>
            <w:gridSpan w:val="2"/>
          </w:tcPr>
          <w:p w:rsidR="000C0551" w:rsidRDefault="000C055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5412" w:type="dxa"/>
            <w:gridSpan w:val="5"/>
          </w:tcPr>
          <w:p w:rsidR="000C0551" w:rsidRDefault="000C0551">
            <w:pPr>
              <w:pStyle w:val="ConsPlusNormal"/>
            </w:pPr>
          </w:p>
        </w:tc>
        <w:tc>
          <w:tcPr>
            <w:tcW w:w="2665" w:type="dxa"/>
            <w:gridSpan w:val="2"/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325" w:type="dxa"/>
            <w:gridSpan w:val="7"/>
          </w:tcPr>
          <w:p w:rsidR="000C0551" w:rsidRDefault="000C0551">
            <w:pPr>
              <w:pStyle w:val="ConsPlusNormal"/>
            </w:pPr>
            <w:r>
              <w:t>Итого</w:t>
            </w:r>
          </w:p>
        </w:tc>
        <w:tc>
          <w:tcPr>
            <w:tcW w:w="2665" w:type="dxa"/>
            <w:gridSpan w:val="2"/>
          </w:tcPr>
          <w:p w:rsidR="000C0551" w:rsidRDefault="000C0551">
            <w:pPr>
              <w:pStyle w:val="ConsPlusNormal"/>
            </w:pPr>
          </w:p>
        </w:tc>
      </w:tr>
      <w:tr w:rsidR="000C0551">
        <w:tc>
          <w:tcPr>
            <w:tcW w:w="8990" w:type="dxa"/>
            <w:gridSpan w:val="9"/>
            <w:tcBorders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  <w:ind w:firstLine="283"/>
              <w:jc w:val="both"/>
            </w:pPr>
            <w:r>
              <w:t>8. Наличие у участника отбора действующих сайта в информационно-телекоммуникационной сети "Интернет", аккаунтов в социальных сетях (указываются ссылки на сайты, аккаунты в социальных сетях).</w:t>
            </w:r>
          </w:p>
          <w:p w:rsidR="000C0551" w:rsidRDefault="000C0551">
            <w:pPr>
              <w:pStyle w:val="ConsPlusNormal"/>
              <w:ind w:firstLine="283"/>
              <w:jc w:val="both"/>
            </w:pPr>
            <w:r>
              <w:t>9. Дополнительная информация *: ________________________________________.</w:t>
            </w:r>
          </w:p>
        </w:tc>
      </w:tr>
      <w:tr w:rsidR="000C0551">
        <w:tc>
          <w:tcPr>
            <w:tcW w:w="89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insideV w:val="nil"/>
          </w:tblBorders>
        </w:tblPrEx>
        <w:tc>
          <w:tcPr>
            <w:tcW w:w="3458" w:type="dxa"/>
            <w:gridSpan w:val="4"/>
            <w:tcBorders>
              <w:top w:val="nil"/>
              <w:bottom w:val="nil"/>
            </w:tcBorders>
          </w:tcPr>
          <w:p w:rsidR="000C0551" w:rsidRDefault="000C0551">
            <w:pPr>
              <w:pStyle w:val="ConsPlusNormal"/>
            </w:pPr>
            <w:r>
              <w:t>Руководитель участника отбора</w:t>
            </w:r>
          </w:p>
        </w:tc>
        <w:tc>
          <w:tcPr>
            <w:tcW w:w="1820" w:type="dxa"/>
            <w:gridSpan w:val="2"/>
            <w:tcBorders>
              <w:top w:val="nil"/>
              <w:bottom w:val="nil"/>
            </w:tcBorders>
          </w:tcPr>
          <w:p w:rsidR="000C0551" w:rsidRDefault="000C0551">
            <w:pPr>
              <w:pStyle w:val="ConsPlusNormal"/>
              <w:jc w:val="center"/>
            </w:pPr>
            <w:r>
              <w:t>___________</w:t>
            </w:r>
          </w:p>
          <w:p w:rsidR="000C0551" w:rsidRDefault="000C055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712" w:type="dxa"/>
            <w:gridSpan w:val="3"/>
            <w:tcBorders>
              <w:top w:val="nil"/>
              <w:bottom w:val="nil"/>
            </w:tcBorders>
          </w:tcPr>
          <w:p w:rsidR="000C0551" w:rsidRDefault="000C0551">
            <w:pPr>
              <w:pStyle w:val="ConsPlusNormal"/>
              <w:jc w:val="center"/>
            </w:pPr>
            <w:r>
              <w:t>___________________________</w:t>
            </w:r>
          </w:p>
          <w:p w:rsidR="000C0551" w:rsidRDefault="000C0551">
            <w:pPr>
              <w:pStyle w:val="ConsPlusNormal"/>
              <w:jc w:val="center"/>
            </w:pPr>
            <w:r>
              <w:t>(фамилия, имя, отчество</w:t>
            </w:r>
          </w:p>
          <w:p w:rsidR="000C0551" w:rsidRDefault="000C0551">
            <w:pPr>
              <w:pStyle w:val="ConsPlusNormal"/>
              <w:jc w:val="center"/>
            </w:pPr>
            <w:r>
              <w:t>(при наличии))</w:t>
            </w:r>
          </w:p>
        </w:tc>
      </w:tr>
      <w:tr w:rsidR="000C0551">
        <w:tc>
          <w:tcPr>
            <w:tcW w:w="89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</w:pPr>
            <w:r>
              <w:t>Дата ________________</w:t>
            </w:r>
          </w:p>
        </w:tc>
      </w:tr>
      <w:tr w:rsidR="000C0551">
        <w:tc>
          <w:tcPr>
            <w:tcW w:w="89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  <w:ind w:firstLine="283"/>
              <w:jc w:val="both"/>
            </w:pPr>
            <w:r>
              <w:t>МП (при наличии)</w:t>
            </w:r>
          </w:p>
        </w:tc>
      </w:tr>
      <w:tr w:rsidR="000C0551">
        <w:tc>
          <w:tcPr>
            <w:tcW w:w="8990" w:type="dxa"/>
            <w:gridSpan w:val="9"/>
            <w:tcBorders>
              <w:top w:val="nil"/>
              <w:left w:val="nil"/>
              <w:right w:val="nil"/>
            </w:tcBorders>
          </w:tcPr>
          <w:p w:rsidR="000C0551" w:rsidRDefault="000C0551">
            <w:pPr>
              <w:pStyle w:val="ConsPlusNormal"/>
            </w:pPr>
          </w:p>
        </w:tc>
      </w:tr>
      <w:tr w:rsidR="000C0551">
        <w:tblPrEx>
          <w:tblBorders>
            <w:insideH w:val="single" w:sz="4" w:space="0" w:color="auto"/>
          </w:tblBorders>
        </w:tblPrEx>
        <w:tc>
          <w:tcPr>
            <w:tcW w:w="8990" w:type="dxa"/>
            <w:gridSpan w:val="9"/>
            <w:tcBorders>
              <w:left w:val="nil"/>
              <w:bottom w:val="nil"/>
              <w:right w:val="nil"/>
            </w:tcBorders>
          </w:tcPr>
          <w:p w:rsidR="000C0551" w:rsidRDefault="000C0551">
            <w:pPr>
              <w:pStyle w:val="ConsPlusNormal"/>
              <w:ind w:firstLine="283"/>
              <w:jc w:val="both"/>
            </w:pPr>
            <w:r>
              <w:t>* Предоставление дополнительной информации о реализуемом проекте (при наличии).</w:t>
            </w:r>
          </w:p>
        </w:tc>
      </w:tr>
    </w:tbl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jc w:val="both"/>
      </w:pPr>
    </w:p>
    <w:p w:rsidR="000C0551" w:rsidRDefault="000C055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2D47" w:rsidRDefault="00CE2D47"/>
    <w:sectPr w:rsidR="00CE2D47" w:rsidSect="000D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C0551"/>
    <w:rsid w:val="000C0551"/>
    <w:rsid w:val="00CE2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0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C0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C05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1&amp;n=134276&amp;dst=2" TargetMode="External"/><Relationship Id="rId13" Type="http://schemas.openxmlformats.org/officeDocument/2006/relationships/hyperlink" Target="https://login.consultant.ru/link/?req=doc&amp;base=LAW&amp;n=495617&amp;dst=5769" TargetMode="External"/><Relationship Id="rId18" Type="http://schemas.openxmlformats.org/officeDocument/2006/relationships/hyperlink" Target="https://login.consultant.ru/link/?req=doc&amp;base=LAW&amp;n=508490&amp;dst=217" TargetMode="External"/><Relationship Id="rId26" Type="http://schemas.openxmlformats.org/officeDocument/2006/relationships/hyperlink" Target="https://login.consultant.ru/link/?req=doc&amp;base=LAW&amp;n=495710&amp;dst=372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4637&amp;dst=100058" TargetMode="External"/><Relationship Id="rId7" Type="http://schemas.openxmlformats.org/officeDocument/2006/relationships/hyperlink" Target="https://login.consultant.ru/link/?req=doc&amp;base=RLAW181&amp;n=134276&amp;dst=2" TargetMode="External"/><Relationship Id="rId12" Type="http://schemas.openxmlformats.org/officeDocument/2006/relationships/hyperlink" Target="https://login.consultant.ru/link/?req=doc&amp;base=LAW&amp;n=503698" TargetMode="External"/><Relationship Id="rId17" Type="http://schemas.openxmlformats.org/officeDocument/2006/relationships/hyperlink" Target="https://login.consultant.ru/link/?req=doc&amp;base=LAW&amp;n=495710&amp;dst=3722" TargetMode="External"/><Relationship Id="rId25" Type="http://schemas.openxmlformats.org/officeDocument/2006/relationships/hyperlink" Target="https://login.consultant.ru/link/?req=doc&amp;base=LAW&amp;n=495710&amp;dst=37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710&amp;dst=3704" TargetMode="External"/><Relationship Id="rId20" Type="http://schemas.openxmlformats.org/officeDocument/2006/relationships/hyperlink" Target="https://login.consultant.ru/link/?req=doc&amp;base=LAW&amp;n=511356&amp;dst=73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1&amp;n=134276&amp;dst=2" TargetMode="External"/><Relationship Id="rId11" Type="http://schemas.openxmlformats.org/officeDocument/2006/relationships/hyperlink" Target="https://login.consultant.ru/link/?req=doc&amp;base=LAW&amp;n=121087&amp;dst=100142" TargetMode="External"/><Relationship Id="rId24" Type="http://schemas.openxmlformats.org/officeDocument/2006/relationships/hyperlink" Target="https://login.consultant.ru/link/?req=doc&amp;base=RLAW181&amp;n=134276&amp;dst=2" TargetMode="External"/><Relationship Id="rId5" Type="http://schemas.openxmlformats.org/officeDocument/2006/relationships/hyperlink" Target="https://login.consultant.ru/link/?req=doc&amp;base=LAW&amp;n=523368&amp;dst=100020" TargetMode="External"/><Relationship Id="rId15" Type="http://schemas.openxmlformats.org/officeDocument/2006/relationships/image" Target="media/image1.wmf"/><Relationship Id="rId23" Type="http://schemas.openxmlformats.org/officeDocument/2006/relationships/hyperlink" Target="https://login.consultant.ru/link/?req=doc&amp;base=LAW&amp;n=495710&amp;dst=3722" TargetMode="External"/><Relationship Id="rId28" Type="http://schemas.openxmlformats.org/officeDocument/2006/relationships/hyperlink" Target="https://login.consultant.ru/link/?req=doc&amp;base=RLAW181&amp;n=134276&amp;dst=2" TargetMode="External"/><Relationship Id="rId10" Type="http://schemas.openxmlformats.org/officeDocument/2006/relationships/hyperlink" Target="https://login.consultant.ru/link/?req=doc&amp;base=LAW&amp;n=509482&amp;dst=100307" TargetMode="External"/><Relationship Id="rId19" Type="http://schemas.openxmlformats.org/officeDocument/2006/relationships/hyperlink" Target="https://login.consultant.ru/link/?req=doc&amp;base=LAW&amp;n=508490&amp;dst=217" TargetMode="External"/><Relationship Id="rId4" Type="http://schemas.openxmlformats.org/officeDocument/2006/relationships/hyperlink" Target="https://login.consultant.ru/link/?req=doc&amp;base=LAW&amp;n=495710&amp;dst=7174" TargetMode="External"/><Relationship Id="rId9" Type="http://schemas.openxmlformats.org/officeDocument/2006/relationships/hyperlink" Target="https://login.consultant.ru/link/?req=doc&amp;base=RLAW181&amp;n=132600" TargetMode="External"/><Relationship Id="rId14" Type="http://schemas.openxmlformats.org/officeDocument/2006/relationships/hyperlink" Target="https://login.consultant.ru/link/?req=doc&amp;base=LAW&amp;n=523240&amp;dst=1327" TargetMode="External"/><Relationship Id="rId22" Type="http://schemas.openxmlformats.org/officeDocument/2006/relationships/hyperlink" Target="https://login.consultant.ru/link/?req=doc&amp;base=LAW&amp;n=495710&amp;dst=3704" TargetMode="External"/><Relationship Id="rId27" Type="http://schemas.openxmlformats.org/officeDocument/2006/relationships/hyperlink" Target="https://login.consultant.ru/link/?req=doc&amp;base=RLAW181&amp;n=134276&amp;dst=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8468</Words>
  <Characters>48269</Characters>
  <Application>Microsoft Office Word</Application>
  <DocSecurity>0</DocSecurity>
  <Lines>402</Lines>
  <Paragraphs>113</Paragraphs>
  <ScaleCrop>false</ScaleCrop>
  <Company/>
  <LinksUpToDate>false</LinksUpToDate>
  <CharactersWithSpaces>56624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VBogatikov</dc:creator>
  <cp:lastModifiedBy>VBogatikov</cp:lastModifiedBy>
  <cp:revision>1</cp:revision>
  <dcterms:created xsi:type="dcterms:W3CDTF">2026-02-11T10:54:00Z</dcterms:created>
  <dcterms:modified xsi:type="dcterms:W3CDTF">2026-02-11T10:54:00Z</dcterms:modified>
</cp:coreProperties>
</file>